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jpeg" ContentType="image/jpe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480" w:after="0"/>
        <w:rPr>
          <w:rFonts w:ascii="Open Sans" w:hAnsi="Open Sans"/>
        </w:rPr>
      </w:pPr>
      <w:bookmarkStart w:id="0" w:name="Xaca2f64301911005f2beeecfcd2f49c2f2a2b1c"/>
      <w:r>
        <w:rPr>
          <w:rFonts w:ascii="Open Sans" w:hAnsi="Open Sans"/>
        </w:rPr>
        <w:t>Отчет по проекту: “Стохастический бинарный нейрон как платформа для вероятностных вычислений”</w:t>
      </w:r>
      <w:bookmarkEnd w:id="0"/>
    </w:p>
    <w:p>
      <w:pPr>
        <w:pStyle w:val="Heading2"/>
        <w:rPr>
          <w:rFonts w:ascii="Open Sans" w:hAnsi="Open Sans"/>
        </w:rPr>
      </w:pPr>
      <w:bookmarkStart w:id="1" w:name="введение"/>
      <w:r>
        <w:rPr>
          <w:rFonts w:ascii="Open Sans" w:hAnsi="Open Sans"/>
        </w:rPr>
        <w:t>Введение</w:t>
      </w:r>
      <w:bookmarkEnd w:id="1"/>
    </w:p>
    <w:p>
      <w:pPr>
        <w:pStyle w:val="FirstParagraph"/>
        <w:rPr>
          <w:rFonts w:ascii="Open Sans" w:hAnsi="Open Sans"/>
        </w:rPr>
      </w:pPr>
      <w:r>
        <w:rPr>
          <w:rFonts w:ascii="Open Sans" w:hAnsi="Open Sans"/>
        </w:rPr>
        <w:t>Развитие CMOS электроники, вызванное непрерывной миниатюризацией транзисторов и соответствующим экспоненциальным ростом вычислительных мощностей, на протяжении десятилетий было движущей силой технологического прогресса. Однако, когда масштабирование транзисторов достигло своих физических и экономических пределов, случился бум развития машинного обучения (ML) и искусственного интеллекта (AI). Возрастающий спрос на вычислительные ресурсы для обучения и поддержки крупных ML-моделей привёл к заметной нехватке энергоэффективных аппаратных компонентов. Помимо этого, растущая роль AI в таких отраслях, как автономный транспорт, подчёркивает глобальный характер этой проблемы, выходящий за рамки локальной инфраструктуры.</w:t>
      </w:r>
    </w:p>
    <w:p>
      <w:pPr>
        <w:pStyle w:val="TextBody"/>
        <w:rPr>
          <w:rFonts w:ascii="Open Sans" w:hAnsi="Open Sans"/>
        </w:rPr>
      </w:pPr>
      <w:r>
        <w:rPr>
          <w:rFonts w:ascii="Open Sans" w:hAnsi="Open Sans"/>
        </w:rPr>
        <w:t>Инновации в полупроводниковой электронике продолжаются благодаря усовершенствованию традиционных транзисторных технологий, включая 3D-гетерогенную интеграцию и использование двумерных (2D) материалов для транзисторов и интерфейсов. Дальнейшие инновации в физике транзисторов, благодаря таким эффектам как отрицательная ёмкость, также представляют перспективы повышения эффективности. Альтернативный подход заключается в расширении экосистемы CMOS за счёт новых несиликоновых нанотехнологий. Этот подход позволяет разрабатывать гетерогенные архитектуры CMOS + X, где X — это совместимая с CMOS нанотехнология, например, магнитные, ферроэлектрические, мемристивные или фотонные системы. Одним из наиболее перспективных направлений, которым занимается наша лаборатория ProFM, является интеграция технологии CMOS с основанными на двумерных сверхпроводниках стохастическими бинарными нейронами (СБН).</w:t>
      </w:r>
    </w:p>
    <w:p>
      <w:pPr>
        <w:pStyle w:val="Heading3"/>
        <w:rPr>
          <w:rFonts w:ascii="Open Sans" w:hAnsi="Open Sans"/>
        </w:rPr>
      </w:pPr>
      <w:bookmarkStart w:id="2" w:name="стохастические-бинарные-нейроны"/>
      <w:r>
        <w:rPr>
          <w:rFonts w:ascii="Open Sans" w:hAnsi="Open Sans"/>
        </w:rPr>
        <w:t>Стохастические бинарные нейроны</w:t>
      </w:r>
      <w:bookmarkEnd w:id="2"/>
    </w:p>
    <w:p>
      <w:pPr>
        <w:pStyle w:val="FirstParagraph"/>
        <w:rPr>
          <w:rFonts w:ascii="Open Sans" w:hAnsi="Open Sans"/>
        </w:rPr>
      </w:pPr>
      <w:r>
        <w:rPr>
          <w:rFonts w:ascii="Open Sans" w:hAnsi="Open Sans"/>
        </w:rPr>
        <w:t>Традиционные транзисторы, составляющие основу современной вычислительной техники, работают детерминированно: они переключаются между бинарными состояниями на основе чётко определённых электронных входных сигналов. С другой стороны, кубиты используют квантовую суперпозицию между состояниями 0 и 1, что позволяет реализовывать принципиально новые вычислительные парадигмы, но требует экстремальных условий окружающей среды.</w:t>
      </w:r>
    </w:p>
    <w:p>
      <w:pPr>
        <w:pStyle w:val="CaptionedFigure"/>
        <w:rPr>
          <w:rFonts w:ascii="Open Sans" w:hAnsi="Open Sans"/>
        </w:rPr>
      </w:pPr>
      <w:bookmarkStart w:id="3" w:name="fig%3Avs"/>
      <w:r>
        <w:rPr>
          <w:rFonts w:ascii="Open Sans" w:hAnsi="Open Sans"/>
        </w:rPr>
        <w:drawing>
          <wp:inline distT="0" distB="0" distL="0" distR="0">
            <wp:extent cx="4762500" cy="2311400"/>
            <wp:effectExtent l="0" t="0" r="0" b="0"/>
            <wp:docPr id="1" name="Picture" descr="В каждом столбце - схематическое изображение базовых вычислительных компонентов: бит(слева), СБН (в середине) кубит (справа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В каждом столбце - схематическое изображение базовых вычислительных компонентов: бит(слева), СБН (в середине) кубит (справа)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>
      <w:pPr>
        <w:pStyle w:val="ImageCaption"/>
        <w:rPr>
          <w:rFonts w:ascii="Open Sans" w:hAnsi="Open Sans"/>
        </w:rPr>
      </w:pPr>
      <w:r>
        <w:rPr>
          <w:rFonts w:ascii="Open Sans" w:hAnsi="Open Sans"/>
        </w:rPr>
        <w:t xml:space="preserve">Рисунок </w:t>
      </w:r>
      <w:r>
        <w:rPr>
          <w:rFonts w:ascii="Open Sans" w:hAnsi="Open Sans"/>
        </w:rPr>
        <w:t>1</w:t>
      </w:r>
      <w:r>
        <w:rPr>
          <w:rFonts w:ascii="Open Sans" w:hAnsi="Open Sans"/>
        </w:rPr>
        <w:t>: В каждом столбце - схематическое изображение базовых вычислительных компонентов: бит(слева), СБН (в середине) кубит (справа)</w:t>
      </w:r>
    </w:p>
    <w:p>
      <w:pPr>
        <w:pStyle w:val="TextBody"/>
        <w:rPr/>
      </w:pPr>
      <w:r>
        <w:rPr>
          <w:rFonts w:ascii="Open Sans" w:hAnsi="Open Sans"/>
        </w:rPr>
        <w:t>СБН занимает промежуточное положение между этими двумя технологиями (</w:t>
      </w:r>
      <w:hyperlink w:anchor="fig:vs">
        <w:r>
          <w:rPr>
            <w:rStyle w:val="InternetLink"/>
            <w:rFonts w:ascii="Open Sans" w:hAnsi="Open Sans"/>
          </w:rPr>
          <w:t>рис. 1</w:t>
        </w:r>
      </w:hyperlink>
      <w:r>
        <w:rPr>
          <w:rFonts w:ascii="Open Sans" w:hAnsi="Open Sans"/>
        </w:rPr>
        <w:t>). В отличие от детерминированных транзисторов, СБН переключается между бинарными состояниями с определённой вероятностью, используя физический шум, а не жёсткие пороговые значения напряжения. Для создания СБН мы используем двумерные нанопровода из нитрида ниобия (NbN), являющегося сверхпроводящим материалом второго рода. Эти нанопровода демонстрируют резкий переход между сверхпроводящим и нормальным состояниями при превышении критического тока. Однако этот переход не является строго детерминированным — квантовые эффекты и тепловой шум вносят в него элемент случайности. Эта природная стохастичность делает двумерные NbN нанопровода перспективной платформой для вероятностных вычислений, где случайность — это преимущество, а не недостаток.</w:t>
      </w:r>
    </w:p>
    <w:p>
      <w:pPr>
        <w:pStyle w:val="Heading3"/>
        <w:rPr>
          <w:rFonts w:ascii="Open Sans" w:hAnsi="Open Sans"/>
        </w:rPr>
      </w:pPr>
      <w:bookmarkStart w:id="4" w:name="вероятностные-вычисления-и-роль-сбн"/>
      <w:r>
        <w:rPr>
          <w:rFonts w:ascii="Open Sans" w:hAnsi="Open Sans"/>
        </w:rPr>
        <w:t>Вероятностные вычисления и роль СБН</w:t>
      </w:r>
      <w:bookmarkEnd w:id="4"/>
    </w:p>
    <w:p>
      <w:pPr>
        <w:pStyle w:val="FirstParagraph"/>
        <w:rPr>
          <w:rFonts w:ascii="Open Sans" w:hAnsi="Open Sans"/>
        </w:rPr>
      </w:pPr>
      <w:r>
        <w:rPr>
          <w:rFonts w:ascii="Open Sans" w:hAnsi="Open Sans"/>
        </w:rPr>
        <w:t>В основе вероятностных вычислений лежит СБН — аппаратный компонент, который использует внутренний физический шум для выполнения вероятностных вычислений. Исследования СБН начинались на уровне устройств и физики, сосредотачиваясь на свойствах сверхпроводящих нанопроводов NbN. Эти материалы естественным образом проявляют стохастические переключения, что делает их подходящими для архитектур вероятностных вычислений. Ключевой принцип этих исследований заключается в прямом соответствии между физической стохастичностью и математическими моделями вероятностных алгоритмов, такими как методы Монте-Карло и машины Больцмана.</w:t>
      </w:r>
    </w:p>
    <w:p>
      <w:pPr>
        <w:pStyle w:val="TextBody"/>
        <w:rPr>
          <w:rFonts w:ascii="Open Sans" w:hAnsi="Open Sans"/>
        </w:rPr>
      </w:pPr>
      <w:r>
        <w:rPr>
          <w:rFonts w:ascii="Open Sans" w:hAnsi="Open Sans"/>
        </w:rPr>
        <w:t>Методы Монте-Карло представляют собой класс вычислительных алгоритмов, основанных на случайных выборках для решения задач, которые, хотя и являются детерминированными в принципе, слишком сложны для точного аналитического решения. Эти методы широко применяются в физике, финансах и AI для оптимизации, интеграции и вероятностных выводов. Их сила заключается в приближённом поиске решений путём исследования возможных состояний через случайные процессы, что делает их идеальными для аппаратных реализаций с естественной стохастичностью.</w:t>
      </w:r>
    </w:p>
    <w:p>
      <w:pPr>
        <w:pStyle w:val="TextBody"/>
        <w:rPr>
          <w:rFonts w:ascii="Open Sans" w:hAnsi="Open Sans"/>
        </w:rPr>
      </w:pPr>
      <w:r>
        <w:rPr>
          <w:rFonts w:ascii="Open Sans" w:hAnsi="Open Sans"/>
        </w:rPr>
        <w:t>Машины Больцмана, в свою очередь, представляют собой класс стохастических нейронных сетей, основанных на принципах минимизации энергии. Они вдохновлены статистической механикой и представляют собой сеть взаимосвязанных узлов, обновляющих свои состояния вероятностным образом в зависимости от взаимодействий. Возможность прямой аппаратной реализации вероятностного переключения позволяет СБН ускорять энергоэффективные модели, такие как машины Больцмана, делая их значительно более мощными по сравнению с традиционными реализациями на универсальных процессорах.</w:t>
      </w:r>
    </w:p>
    <w:p>
      <w:pPr>
        <w:pStyle w:val="Heading3"/>
        <w:rPr>
          <w:rFonts w:ascii="Open Sans" w:hAnsi="Open Sans"/>
        </w:rPr>
      </w:pPr>
      <w:bookmarkStart w:id="5" w:name="масштабирование-вероятностных-вычислений"/>
      <w:r>
        <w:rPr>
          <w:rFonts w:ascii="Open Sans" w:hAnsi="Open Sans"/>
        </w:rPr>
        <w:t>Масштабирование вероятностных вычислений</w:t>
      </w:r>
      <w:bookmarkEnd w:id="5"/>
    </w:p>
    <w:p>
      <w:pPr>
        <w:pStyle w:val="FirstParagraph"/>
        <w:rPr>
          <w:rFonts w:ascii="Open Sans" w:hAnsi="Open Sans"/>
        </w:rPr>
      </w:pPr>
      <w:r>
        <w:rPr>
          <w:rFonts w:ascii="Open Sans" w:hAnsi="Open Sans"/>
        </w:rPr>
        <w:t>Помимо разработки отдельных СБН-устройств, лаборатория ProFM активно исследует архитектурные инновации для масштабирования вероятностных вычислений. Исследуются такие методы, как сжатие и конвейерная обработка, для повышения эффективности и производительности. Подобно квантовым вычислениям, где прогресс зависит от междисциплинарного сотрудничества между аппаратными средствами, архитектурами и алгоритмами, вероятностные вычисления требуют аналогичного комплексного подхода.</w:t>
      </w:r>
    </w:p>
    <w:p>
      <w:pPr>
        <w:pStyle w:val="TextBody"/>
        <w:rPr>
          <w:rFonts w:ascii="Open Sans" w:hAnsi="Open Sans"/>
        </w:rPr>
      </w:pPr>
      <w:r>
        <w:rPr>
          <w:rFonts w:ascii="Open Sans" w:hAnsi="Open Sans"/>
        </w:rPr>
        <w:t>Расширяя границы вычислений на основе СБН, лаборатория ProFM стремится к созданию высокопроизводительных, энергоэффективных вычислительных архитектур, которые могут органично интегрироваться с существующими полупроводниковыми технологиями.</w:t>
      </w:r>
    </w:p>
    <w:p>
      <w:pPr>
        <w:pStyle w:val="Heading2"/>
        <w:rPr>
          <w:rFonts w:ascii="Open Sans" w:hAnsi="Open Sans"/>
        </w:rPr>
      </w:pPr>
      <w:bookmarkStart w:id="6" w:name="X17f6c635afb03aab2cae89573e790f92bd7662a"/>
      <w:r>
        <w:rPr>
          <w:rFonts w:ascii="Open Sans" w:hAnsi="Open Sans"/>
        </w:rPr>
        <w:t>Факторизация целых чисел как прототипная задача</w:t>
      </w:r>
      <w:bookmarkEnd w:id="6"/>
    </w:p>
    <w:p>
      <w:pPr>
        <w:pStyle w:val="FirstParagraph"/>
        <w:rPr>
          <w:rFonts w:ascii="Open Sans" w:hAnsi="Open Sans"/>
        </w:rPr>
      </w:pPr>
      <w:r>
        <w:rPr>
          <w:rFonts w:ascii="Open Sans" w:hAnsi="Open Sans"/>
        </w:rPr>
        <w:t xml:space="preserve">Область адиабатических квантовых вычислений (АКВ) решает сложные задачи оптимизации, создавая сети кубитов, в которых взаимодействия между ними сконструированы таким образом, чтобы энергия системы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E</m:t>
        </m:r>
      </m:oMath>
      <w:r>
        <w:rPr>
          <w:rFonts w:ascii="Open Sans" w:hAnsi="Open Sans"/>
        </w:rPr>
        <w:t xml:space="preserve"> соответствовала функции стоимости рассматриваемой задачи. Один из алгоритмов представляет факторизацию целых чисел как задачу оптимизации, записывая множители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X</m:t>
        </m:r>
      </m:oMath>
      <w:r>
        <w:rPr>
          <w:rFonts w:ascii="Open Sans" w:hAnsi="Open Sans"/>
        </w:rPr>
        <w:t xml:space="preserve"> и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Y</m:t>
        </m:r>
      </m:oMath>
      <w:r>
        <w:rPr>
          <w:rFonts w:ascii="Open Sans" w:hAnsi="Open Sans"/>
        </w:rPr>
        <w:t xml:space="preserve"> в двоичном виде и определяя функцию стоимости:</w:t>
      </w:r>
    </w:p>
    <w:p>
      <w:pPr>
        <w:pStyle w:val="TextBody"/>
        <w:jc w:val="center"/>
        <w:rPr>
          <w:rFonts w:ascii="Open Sans" w:hAnsi="Open Sans"/>
        </w:rPr>
      </w:pPr>
      <w:r>
        <w:rPr>
          <w:rFonts w:ascii="Open Sans" w:hAnsi="Open Sans"/>
        </w:rPr>
      </w:r>
      <m:oMathPara xmlns:m="http://schemas.openxmlformats.org/officeDocument/2006/math">
        <m:oMathParaPr>
          <m:jc m:val="center"/>
        </m:oMathParaPr>
        <m:oMath>
          <m:r>
            <w:rPr>
              <w:rFonts w:ascii="Cambria Math" w:hAnsi="Cambria Math"/>
            </w:rPr>
            <m:t xml:space="preserve">E</m:t>
          </m:r>
          <m:d>
            <m:dPr>
              <m:begChr m:val="("/>
              <m:endChr m:val=")"/>
            </m:dPr>
            <m:e>
              <m:sSub>
                <m:e>
                  <m:r>
                    <w:rPr>
                      <w:rFonts w:ascii="Cambria Math" w:hAnsi="Cambria Math"/>
                    </w:rPr>
                    <m:t xml:space="preserve">x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P</m:t>
                  </m:r>
                </m:sub>
              </m:sSub>
              <m:r>
                <w:rPr>
                  <w:rFonts w:ascii="Cambria Math" w:hAnsi="Cambria Math"/>
                </w:rPr>
                <m:t xml:space="preserve">,</m:t>
              </m:r>
              <m:r>
                <w:rPr>
                  <w:rFonts w:ascii="Cambria Math" w:hAnsi="Cambria Math"/>
                </w:rPr>
                <m:t xml:space="preserve">…</m:t>
              </m:r>
              <m:r>
                <w:rPr>
                  <w:rFonts w:ascii="Cambria Math" w:hAnsi="Cambria Math"/>
                </w:rPr>
                <m:t xml:space="preserve">,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x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  <m:r>
                <w:rPr>
                  <w:rFonts w:ascii="Cambria Math" w:hAnsi="Cambria Math"/>
                </w:rPr>
                <m:t xml:space="preserve">;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y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Q</m:t>
                  </m:r>
                </m:sub>
              </m:sSub>
              <m:r>
                <w:rPr>
                  <w:rFonts w:ascii="Cambria Math" w:hAnsi="Cambria Math"/>
                </w:rPr>
                <m:t xml:space="preserve">,</m:t>
              </m:r>
              <m:r>
                <w:rPr>
                  <w:rFonts w:ascii="Cambria Math" w:hAnsi="Cambria Math"/>
                </w:rPr>
                <m:t xml:space="preserve">…</m:t>
              </m:r>
              <m:r>
                <w:rPr>
                  <w:rFonts w:ascii="Cambria Math" w:hAnsi="Cambria Math"/>
                </w:rPr>
                <m:t xml:space="preserve">,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y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=</m:t>
          </m:r>
          <m:sSup>
            <m:e>
              <m:d>
                <m:dPr>
                  <m:begChr m:val="["/>
                  <m:endChr m:val="]"/>
                </m:dPr>
                <m:e>
                  <m:d>
                    <m:dPr>
                      <m:begChr m:val="("/>
                      <m:endChr m:val=")"/>
                    </m:dPr>
                    <m:e>
                      <m:nary>
                        <m:naryPr>
                          <m:chr m:val="∑"/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 xml:space="preserve">p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=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 xml:space="preserve">P</m:t>
                          </m:r>
                        </m:sup>
                        <m:e>
                          <m:sSup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2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 xml:space="preserve">p</m:t>
                              </m:r>
                            </m:sup>
                          </m:sSup>
                        </m:e>
                      </m:nary>
                      <m:sSub>
                        <m:e>
                          <m:r>
                            <w:rPr>
                              <w:rFonts w:ascii="Cambria Math" w:hAnsi="Cambria Math"/>
                            </w:rPr>
                            <m:t xml:space="preserve"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 xml:space="preserve">p</m:t>
                          </m:r>
                        </m:sub>
                      </m:sSub>
                    </m:e>
                  </m:d>
                  <m:d>
                    <m:dPr>
                      <m:begChr m:val="("/>
                      <m:endChr m:val=")"/>
                    </m:dPr>
                    <m:e>
                      <m:nary>
                        <m:naryPr>
                          <m:chr m:val="∑"/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 xml:space="preserve">q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=</m:t>
                          </m:r>
                          <m:r>
                            <w:rPr>
                              <w:rFonts w:ascii="Cambria Math" w:hAnsi="Cambria Math"/>
                            </w:rPr>
                            <m:t xml:space="preserve">0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 xml:space="preserve">Q</m:t>
                          </m:r>
                        </m:sup>
                        <m:e>
                          <m:sSup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2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 xml:space="preserve">q</m:t>
                              </m:r>
                            </m:sup>
                          </m:sSup>
                        </m:e>
                      </m:nary>
                      <m:sSub>
                        <m:e>
                          <m:r>
                            <w:rPr>
                              <w:rFonts w:ascii="Cambria Math" w:hAnsi="Cambria Math"/>
                            </w:rPr>
                            <m:t xml:space="preserve"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 xml:space="preserve">q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F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 xml:space="preserve">2</m:t>
              </m:r>
            </m:sup>
          </m:sSup>
        </m:oMath>
      </m:oMathPara>
    </w:p>
    <w:p>
      <w:pPr>
        <w:pStyle w:val="FirstParagraph"/>
        <w:rPr>
          <w:rFonts w:ascii="Open Sans" w:hAnsi="Open Sans"/>
        </w:rPr>
      </w:pPr>
      <w:r>
        <w:rPr>
          <w:rFonts w:ascii="Open Sans" w:hAnsi="Open Sans"/>
        </w:rPr>
        <w:t xml:space="preserve">где </w:t>
      </w:r>
      <w:r>
        <w:rPr>
          <w:rFonts w:ascii="Open Sans" w:hAnsi="Open Sans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x</m:t>
            </m:r>
          </m:e>
          <m:sub>
            <m:r>
              <w:rPr>
                <w:rFonts w:ascii="Cambria Math" w:hAnsi="Cambria Math"/>
              </w:rPr>
              <m:t xml:space="preserve">0</m:t>
            </m:r>
          </m:sub>
        </m:sSub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1</m:t>
        </m:r>
      </m:oMath>
      <w:r>
        <w:rPr>
          <w:rFonts w:ascii="Open Sans" w:hAnsi="Open Sans"/>
        </w:rPr>
        <w:t xml:space="preserve">, </w:t>
      </w:r>
      <w:r>
        <w:rPr>
          <w:rFonts w:ascii="Open Sans" w:hAnsi="Open Sans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y</m:t>
            </m:r>
          </m:e>
          <m:sub>
            <m:r>
              <w:rPr>
                <w:rFonts w:ascii="Cambria Math" w:hAnsi="Cambria Math"/>
              </w:rPr>
              <m:t xml:space="preserve">0</m:t>
            </m:r>
          </m:sub>
        </m:sSub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1</m:t>
        </m:r>
      </m:oMath>
      <w:r>
        <w:rPr>
          <w:rFonts w:ascii="Open Sans" w:hAnsi="Open Sans"/>
        </w:rPr>
        <w:t xml:space="preserve">, а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P</m:t>
        </m:r>
      </m:oMath>
      <w:r>
        <w:rPr>
          <w:rFonts w:ascii="Open Sans" w:hAnsi="Open Sans"/>
        </w:rPr>
        <w:t xml:space="preserve"> и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Q</m:t>
        </m:r>
      </m:oMath>
      <w:r>
        <w:rPr>
          <w:rFonts w:ascii="Open Sans" w:hAnsi="Open Sans"/>
        </w:rPr>
        <w:t xml:space="preserve"> обозначают количество бит, необходимых для представления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X</m:t>
        </m:r>
      </m:oMath>
      <w:r>
        <w:rPr>
          <w:rFonts w:ascii="Open Sans" w:hAnsi="Open Sans"/>
        </w:rPr>
        <w:t xml:space="preserve"> и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Y</m:t>
        </m:r>
      </m:oMath>
      <w:r>
        <w:rPr>
          <w:rFonts w:ascii="Open Sans" w:hAnsi="Open Sans"/>
        </w:rPr>
        <w:t xml:space="preserve">, соответственно. Таким образом, состояние с наименьшей энергией соответствует конфигурации кубитов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{</m:t>
        </m:r>
        <m:sSub>
          <m:e>
            <m:r>
              <w:rPr>
                <w:rFonts w:ascii="Cambria Math" w:hAnsi="Cambria Math"/>
              </w:rPr>
              <m:t xml:space="preserve">x</m:t>
            </m:r>
          </m:e>
          <m:sub>
            <m:r>
              <w:rPr>
                <w:rFonts w:ascii="Cambria Math" w:hAnsi="Cambria Math"/>
              </w:rPr>
              <m:t xml:space="preserve">p</m:t>
            </m:r>
          </m:sub>
        </m:sSub>
        <m:r>
          <w:rPr>
            <w:rFonts w:ascii="Cambria Math" w:hAnsi="Cambria Math"/>
          </w:rPr>
          <m:t xml:space="preserve">,</m:t>
        </m:r>
        <m:r>
          <w:rPr>
            <w:rFonts w:ascii="Cambria Math" w:hAnsi="Cambria Math"/>
          </w:rPr>
          <m:t xml:space="preserve">…</m:t>
        </m:r>
        <m:r>
          <w:rPr>
            <w:rFonts w:ascii="Cambria Math" w:hAnsi="Cambria Math"/>
          </w:rPr>
          <m:t xml:space="preserve">,</m:t>
        </m:r>
        <m:sSub>
          <m:e>
            <m:r>
              <w:rPr>
                <w:rFonts w:ascii="Cambria Math" w:hAnsi="Cambria Math"/>
              </w:rPr>
              <m:t xml:space="preserve">x</m:t>
            </m:r>
          </m:e>
          <m:sub>
            <m:r>
              <w:rPr>
                <w:rFonts w:ascii="Cambria Math" w:hAnsi="Cambria Math"/>
              </w:rPr>
              <m:t xml:space="preserve">1</m:t>
            </m:r>
          </m:sub>
        </m:sSub>
        <m:r>
          <w:rPr>
            <w:rFonts w:ascii="Cambria Math" w:hAnsi="Cambria Math"/>
          </w:rPr>
          <m:t xml:space="preserve">,</m:t>
        </m:r>
        <m:sSub>
          <m:e>
            <m:r>
              <w:rPr>
                <w:rFonts w:ascii="Cambria Math" w:hAnsi="Cambria Math"/>
              </w:rPr>
              <m:t xml:space="preserve">y</m:t>
            </m:r>
          </m:e>
          <m:sub>
            <m:r>
              <w:rPr>
                <w:rFonts w:ascii="Cambria Math" w:hAnsi="Cambria Math"/>
              </w:rPr>
              <m:t xml:space="preserve">q</m:t>
            </m:r>
          </m:sub>
        </m:sSub>
        <m:r>
          <w:rPr>
            <w:rFonts w:ascii="Cambria Math" w:hAnsi="Cambria Math"/>
          </w:rPr>
          <m:t xml:space="preserve">,</m:t>
        </m:r>
        <m:r>
          <w:rPr>
            <w:rFonts w:ascii="Cambria Math" w:hAnsi="Cambria Math"/>
          </w:rPr>
          <m:t xml:space="preserve">…</m:t>
        </m:r>
        <m:r>
          <w:rPr>
            <w:rFonts w:ascii="Cambria Math" w:hAnsi="Cambria Math"/>
          </w:rPr>
          <m:t xml:space="preserve">,</m:t>
        </m:r>
        <m:sSub>
          <m:e>
            <m:r>
              <w:rPr>
                <w:rFonts w:ascii="Cambria Math" w:hAnsi="Cambria Math"/>
              </w:rPr>
              <m:t xml:space="preserve">y</m:t>
            </m:r>
          </m:e>
          <m:sub>
            <m:r>
              <w:rPr>
                <w:rFonts w:ascii="Cambria Math" w:hAnsi="Cambria Math"/>
              </w:rPr>
              <m:t xml:space="preserve">1</m:t>
            </m:r>
          </m:sub>
        </m:sSub>
        <m:r>
          <w:rPr>
            <w:rFonts w:ascii="Cambria Math" w:hAnsi="Cambria Math"/>
          </w:rPr>
          <m:t xml:space="preserve">}</m:t>
        </m:r>
      </m:oMath>
      <w:r>
        <w:rPr>
          <w:rFonts w:ascii="Open Sans" w:hAnsi="Open Sans"/>
        </w:rPr>
        <w:t xml:space="preserve">, при которой произведение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X</m:t>
        </m:r>
        <m:r>
          <w:rPr>
            <w:rFonts w:ascii="Cambria Math" w:hAnsi="Cambria Math"/>
          </w:rPr>
          <m:t xml:space="preserve">Y</m:t>
        </m:r>
      </m:oMath>
      <w:r>
        <w:rPr>
          <w:rFonts w:ascii="Open Sans" w:hAnsi="Open Sans"/>
        </w:rPr>
        <w:t xml:space="preserve"> равно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F</m:t>
        </m:r>
      </m:oMath>
      <w:r>
        <w:rPr>
          <w:rFonts w:ascii="Open Sans" w:hAnsi="Open Sans"/>
        </w:rPr>
        <w:t>.</w:t>
      </w:r>
    </w:p>
    <w:p>
      <w:pPr>
        <w:pStyle w:val="TextBody"/>
        <w:rPr>
          <w:rFonts w:ascii="Open Sans" w:hAnsi="Open Sans"/>
        </w:rPr>
      </w:pPr>
      <w:r>
        <w:rPr>
          <w:rFonts w:ascii="Open Sans" w:hAnsi="Open Sans"/>
        </w:rPr>
        <w:t xml:space="preserve">В общем случае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E</m:t>
        </m:r>
      </m:oMath>
      <w:r>
        <w:rPr>
          <w:rFonts w:ascii="Open Sans" w:hAnsi="Open Sans"/>
        </w:rPr>
        <w:t xml:space="preserve"> включает в себя члены вида </w:t>
      </w:r>
      <w:r>
        <w:rPr>
          <w:rFonts w:ascii="Open Sans" w:hAnsi="Open Sans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x</m:t>
            </m:r>
          </m:e>
          <m:sub>
            <m:r>
              <w:rPr>
                <w:rFonts w:ascii="Cambria Math" w:hAnsi="Cambria Math"/>
              </w:rPr>
              <m:t xml:space="preserve">p</m:t>
            </m:r>
          </m:sub>
        </m:sSub>
        <m:sSub>
          <m:e>
            <m:r>
              <w:rPr>
                <w:rFonts w:ascii="Cambria Math" w:hAnsi="Cambria Math"/>
              </w:rPr>
              <m:t xml:space="preserve">y</m:t>
            </m:r>
          </m:e>
          <m:sub>
            <m:r>
              <w:rPr>
                <w:rFonts w:ascii="Cambria Math" w:hAnsi="Cambria Math"/>
              </w:rPr>
              <m:t xml:space="preserve">q</m:t>
            </m:r>
          </m:sub>
        </m:sSub>
        <m:sSub>
          <m:e>
            <m:r>
              <w:rPr>
                <w:rFonts w:ascii="Cambria Math" w:hAnsi="Cambria Math"/>
              </w:rPr>
              <m:t xml:space="preserve">x</m:t>
            </m:r>
          </m:e>
          <m:sub>
            <m:r>
              <w:rPr>
                <w:rFonts w:ascii="Cambria Math" w:hAnsi="Cambria Math"/>
              </w:rPr>
              <m:t xml:space="preserve">r</m:t>
            </m:r>
          </m:sub>
        </m:sSub>
        <m:sSub>
          <m:e>
            <m:r>
              <w:rPr>
                <w:rFonts w:ascii="Cambria Math" w:hAnsi="Cambria Math"/>
              </w:rPr>
              <m:t xml:space="preserve">y</m:t>
            </m:r>
          </m:e>
          <m:sub>
            <m:r>
              <w:rPr>
                <w:rFonts w:ascii="Cambria Math" w:hAnsi="Cambria Math"/>
              </w:rPr>
              <m:t xml:space="preserve">s</m:t>
            </m:r>
          </m:sub>
        </m:sSub>
      </m:oMath>
      <w:r>
        <w:rPr>
          <w:rFonts w:ascii="Open Sans" w:hAnsi="Open Sans"/>
        </w:rPr>
        <w:t>, требующие до четырёхчастичных взаимодействий. Этот алгоритм не требует когерентности, но при реализации в АКВ нуждается в дополнительных битах для представления многочастичных взаимодействий. В вероятностных вычислениях многочастичные взаимодействия реализуются электрически, исключая необходимость в дополнительных компонентах.</w:t>
      </w:r>
    </w:p>
    <w:p>
      <w:pPr>
        <w:pStyle w:val="TextBody"/>
        <w:rPr>
          <w:rFonts w:ascii="Open Sans" w:hAnsi="Open Sans"/>
        </w:rPr>
      </w:pPr>
      <w:r>
        <w:rPr>
          <w:rFonts w:ascii="Open Sans" w:hAnsi="Open Sans"/>
        </w:rPr>
        <w:t xml:space="preserve">СБН выступают в качестве базовых элементов стохастических нейронных сетей. Поведение отдельных СБН определяется вероятностным механизмом: выходной сигнал </w:t>
      </w:r>
      <w:r>
        <w:rPr>
          <w:rFonts w:ascii="Open Sans" w:hAnsi="Open Sans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m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</m:oMath>
      <w:r>
        <w:rPr>
          <w:rFonts w:ascii="Open Sans" w:hAnsi="Open Sans"/>
        </w:rPr>
        <w:t xml:space="preserve"> принимает значения 0 или 1 с вероятностями </w:t>
      </w:r>
      <w:r>
        <w:rPr>
          <w:rFonts w:ascii="Open Sans" w:hAnsi="Open Sans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P</m:t>
            </m:r>
          </m:e>
          <m:sub>
            <m:r>
              <w:rPr>
                <w:rFonts w:ascii="Cambria Math" w:hAnsi="Cambria Math"/>
              </w:rPr>
              <m:t xml:space="preserve">0</m:t>
            </m:r>
          </m:sub>
        </m:sSub>
      </m:oMath>
      <w:r>
        <w:rPr>
          <w:rFonts w:ascii="Open Sans" w:hAnsi="Open Sans"/>
        </w:rPr>
        <w:t xml:space="preserve"> и </w:t>
      </w:r>
      <w:r>
        <w:rPr>
          <w:rFonts w:ascii="Open Sans" w:hAnsi="Open Sans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P</m:t>
            </m:r>
          </m:e>
          <m:sub>
            <m:r>
              <w:rPr>
                <w:rFonts w:ascii="Cambria Math" w:hAnsi="Cambria Math"/>
              </w:rPr>
              <m:t xml:space="preserve">1</m:t>
            </m:r>
          </m:sub>
        </m:sSub>
      </m:oMath>
      <w:r>
        <w:rPr>
          <w:rFonts w:ascii="Open Sans" w:hAnsi="Open Sans"/>
        </w:rPr>
        <w:t xml:space="preserve"> соответственно. Эти вероятности зависят от нормированного входного сигнала </w:t>
      </w:r>
      <w:r>
        <w:rPr>
          <w:rFonts w:ascii="Open Sans" w:hAnsi="Open Sans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I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</m:oMath>
      <w:r>
        <w:rPr>
          <w:rFonts w:ascii="Open Sans" w:hAnsi="Open Sans"/>
        </w:rPr>
        <w:t xml:space="preserve">: при </w:t>
      </w:r>
      <w:r>
        <w:rPr>
          <w:rFonts w:ascii="Open Sans" w:hAnsi="Open Sans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I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0</m:t>
        </m:r>
      </m:oMath>
      <w:r>
        <w:rPr>
          <w:rFonts w:ascii="Open Sans" w:hAnsi="Open Sans"/>
        </w:rPr>
        <w:t xml:space="preserve"> нейрон с равной вероятностью выдаёт 0 или 1 (</w:t>
      </w:r>
      <w:r>
        <w:rPr>
          <w:rFonts w:ascii="Open Sans" w:hAnsi="Open Sans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P</m:t>
            </m:r>
          </m:e>
          <m:sub>
            <m:r>
              <w:rPr>
                <w:rFonts w:ascii="Cambria Math" w:hAnsi="Cambria Math"/>
              </w:rPr>
              <m:t xml:space="preserve">0</m:t>
            </m:r>
          </m:sub>
        </m:sSub>
        <m:r>
          <w:rPr>
            <w:rFonts w:ascii="Cambria Math" w:hAnsi="Cambria Math"/>
          </w:rPr>
          <m:t xml:space="preserve">=</m:t>
        </m:r>
        <m:sSub>
          <m:e>
            <m:r>
              <w:rPr>
                <w:rFonts w:ascii="Cambria Math" w:hAnsi="Cambria Math"/>
              </w:rPr>
              <m:t xml:space="preserve">P</m:t>
            </m:r>
          </m:e>
          <m:sub>
            <m:r>
              <w:rPr>
                <w:rFonts w:ascii="Cambria Math" w:hAnsi="Cambria Math"/>
              </w:rPr>
              <m:t xml:space="preserve">1</m:t>
            </m:r>
          </m:sub>
        </m:sSub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0.5</m:t>
        </m:r>
      </m:oMath>
      <w:r>
        <w:rPr>
          <w:rFonts w:ascii="Open Sans" w:hAnsi="Open Sans"/>
        </w:rPr>
        <w:t xml:space="preserve">), при достаточно положительном </w:t>
      </w:r>
      <w:r>
        <w:rPr>
          <w:rFonts w:ascii="Open Sans" w:hAnsi="Open Sans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I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</m:oMath>
      <w:r>
        <w:rPr>
          <w:rFonts w:ascii="Open Sans" w:hAnsi="Open Sans"/>
        </w:rPr>
        <w:t xml:space="preserve"> выход принудительно устанавливается в 1 (</w:t>
      </w:r>
      <w:r>
        <w:rPr>
          <w:rFonts w:ascii="Open Sans" w:hAnsi="Open Sans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P</m:t>
            </m:r>
          </m:e>
          <m:sub>
            <m:r>
              <w:rPr>
                <w:rFonts w:ascii="Cambria Math" w:hAnsi="Cambria Math"/>
              </w:rPr>
              <m:t xml:space="preserve">0</m:t>
            </m:r>
          </m:sub>
        </m:sSub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0</m:t>
        </m:r>
        <m:r>
          <w:rPr>
            <w:rFonts w:ascii="Cambria Math" w:hAnsi="Cambria Math"/>
          </w:rPr>
          <m:t xml:space="preserve">,</m:t>
        </m:r>
        <m:sSub>
          <m:e>
            <m:r>
              <w:rPr>
                <w:rFonts w:ascii="Cambria Math" w:hAnsi="Cambria Math"/>
              </w:rPr>
              <m:t xml:space="preserve">P</m:t>
            </m:r>
          </m:e>
          <m:sub>
            <m:r>
              <w:rPr>
                <w:rFonts w:ascii="Cambria Math" w:hAnsi="Cambria Math"/>
              </w:rPr>
              <m:t xml:space="preserve">1</m:t>
            </m:r>
          </m:sub>
        </m:sSub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1</m:t>
        </m:r>
      </m:oMath>
      <w:r>
        <w:rPr>
          <w:rFonts w:ascii="Open Sans" w:hAnsi="Open Sans"/>
        </w:rPr>
        <w:t xml:space="preserve">), а при сильно отрицательном </w:t>
      </w:r>
      <w:r>
        <w:rPr>
          <w:rFonts w:ascii="Open Sans" w:hAnsi="Open Sans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I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</m:oMath>
      <w:r>
        <w:rPr>
          <w:rFonts w:ascii="Open Sans" w:hAnsi="Open Sans"/>
        </w:rPr>
        <w:t xml:space="preserve"> — в 0 (</w:t>
      </w:r>
      <w:r>
        <w:rPr>
          <w:rFonts w:ascii="Open Sans" w:hAnsi="Open Sans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P</m:t>
            </m:r>
          </m:e>
          <m:sub>
            <m:r>
              <w:rPr>
                <w:rFonts w:ascii="Cambria Math" w:hAnsi="Cambria Math"/>
              </w:rPr>
              <m:t xml:space="preserve">0</m:t>
            </m:r>
          </m:sub>
        </m:sSub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1</m:t>
        </m:r>
        <m:r>
          <w:rPr>
            <w:rFonts w:ascii="Cambria Math" w:hAnsi="Cambria Math"/>
          </w:rPr>
          <m:t xml:space="preserve">,</m:t>
        </m:r>
        <m:sSub>
          <m:e>
            <m:r>
              <w:rPr>
                <w:rFonts w:ascii="Cambria Math" w:hAnsi="Cambria Math"/>
              </w:rPr>
              <m:t xml:space="preserve">P</m:t>
            </m:r>
          </m:e>
          <m:sub>
            <m:r>
              <w:rPr>
                <w:rFonts w:ascii="Cambria Math" w:hAnsi="Cambria Math"/>
              </w:rPr>
              <m:t xml:space="preserve">1</m:t>
            </m:r>
          </m:sub>
        </m:sSub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0</m:t>
        </m:r>
      </m:oMath>
      <w:r>
        <w:rPr>
          <w:rFonts w:ascii="Open Sans" w:hAnsi="Open Sans"/>
        </w:rPr>
        <w:t>). Этот стохастический переключательный механизм играет ключевую роль в реализации стохастических нейронных сетей для оптимизационных и обучающих задач.</w:t>
      </w:r>
    </w:p>
    <w:p>
      <w:pPr>
        <w:pStyle w:val="TextBody"/>
        <w:jc w:val="center"/>
        <w:rPr>
          <w:rFonts w:ascii="Open Sans" w:hAnsi="Open Sans"/>
        </w:rPr>
      </w:pPr>
      <w:r>
        <w:rPr>
          <w:rFonts w:ascii="Open Sans" w:hAnsi="Open Sans"/>
        </w:rPr>
      </w:r>
      <m:oMathPara xmlns:m="http://schemas.openxmlformats.org/officeDocument/2006/math">
        <m:oMathParaPr>
          <m:jc m:val="center"/>
        </m:oMathParaPr>
        <m:oMath>
          <m:sSub>
            <m:e>
              <m:r>
                <w:rPr>
                  <w:rFonts w:ascii="Cambria Math" w:hAnsi="Cambria Math"/>
                </w:rPr>
                <m:t xml:space="preserve">m</m:t>
              </m:r>
            </m:e>
            <m:sub>
              <m:r>
                <w:rPr>
                  <w:rFonts w:ascii="Cambria Math" w:hAnsi="Cambria Math"/>
                </w:rPr>
                <m:t xml:space="preserve">i</m:t>
              </m:r>
            </m:sub>
          </m:sSub>
          <m:r>
            <w:rPr>
              <w:rFonts w:ascii="Cambria Math" w:hAnsi="Cambria Math"/>
            </w:rPr>
            <m:t xml:space="preserve">=</m:t>
          </m:r>
          <m:r>
            <w:rPr>
              <w:rFonts w:ascii="Cambria Math" w:hAnsi="Cambria Math"/>
            </w:rPr>
            <m:t xml:space="preserve">ϑ</m:t>
          </m:r>
          <m:d>
            <m:dPr>
              <m:begChr m:val="["/>
              <m:endChr m:val="]"/>
            </m:dPr>
            <m:e>
              <m:r>
                <w:rPr>
                  <w:rFonts w:ascii="Cambria Math" w:hAnsi="Cambria Math"/>
                </w:rPr>
                <m:t xml:space="preserve">σ</m:t>
              </m:r>
              <m:d>
                <m:dPr>
                  <m:begChr m:val="("/>
                  <m:endChr m:val=")"/>
                </m:dPr>
                <m:e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−</m:t>
              </m:r>
              <m:r>
                <w:rPr>
                  <w:rFonts w:ascii="Cambria Math" w:hAnsi="Cambria Math"/>
                </w:rPr>
                <m:t xml:space="preserve">r</m:t>
              </m:r>
            </m:e>
          </m:d>
        </m:oMath>
      </m:oMathPara>
    </w:p>
    <w:p>
      <w:pPr>
        <w:pStyle w:val="FirstParagraph"/>
        <w:rPr>
          <w:rFonts w:ascii="Open Sans" w:hAnsi="Open Sans"/>
        </w:rPr>
      </w:pPr>
      <w:r>
        <w:rPr>
          <w:rFonts w:ascii="Open Sans" w:hAnsi="Open Sans"/>
        </w:rPr>
        <w:t xml:space="preserve">где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ϑ</m:t>
        </m:r>
      </m:oMath>
      <w:r>
        <w:rPr>
          <w:rFonts w:ascii="Open Sans" w:hAnsi="Open Sans"/>
        </w:rPr>
        <w:t xml:space="preserve"> — единичная ступенчатая функция,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σ</m:t>
        </m:r>
      </m:oMath>
      <w:r>
        <w:rPr>
          <w:rFonts w:ascii="Open Sans" w:hAnsi="Open Sans"/>
        </w:rPr>
        <w:t xml:space="preserve"> — сигмоидальная функция,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r</m:t>
        </m:r>
      </m:oMath>
      <w:r>
        <w:rPr>
          <w:rFonts w:ascii="Open Sans" w:hAnsi="Open Sans"/>
        </w:rPr>
        <w:t xml:space="preserve"> — случайное число, равномерно распределённое в диапазоне от 0 до 1, а вход </w:t>
      </w:r>
      <w:r>
        <w:rPr>
          <w:rFonts w:ascii="Open Sans" w:hAnsi="Open Sans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I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</m:oMath>
      <w:r>
        <w:rPr>
          <w:rFonts w:ascii="Open Sans" w:hAnsi="Open Sans"/>
        </w:rPr>
        <w:t xml:space="preserve"> определяется синаптической функцией (описанной ниже). Таким образом, стохастические нейронные сети требуют естественного элемента, обладающего значительной нестабильностью, но при этом контролируемого.</w:t>
      </w:r>
    </w:p>
    <w:p>
      <w:pPr>
        <w:pStyle w:val="TextBody"/>
        <w:rPr>
          <w:rFonts w:ascii="Open Sans" w:hAnsi="Open Sans"/>
        </w:rPr>
      </w:pPr>
      <w:r>
        <w:rPr>
          <w:rFonts w:ascii="Open Sans" w:hAnsi="Open Sans"/>
        </w:rPr>
        <w:t>Цель данной задачи — показать, что сложные задачи оптимизации могут быть решены в общем виде с использованием корреляции между несколькими естественно СБН.</w:t>
      </w:r>
    </w:p>
    <w:p>
      <w:pPr>
        <w:pStyle w:val="TextBody"/>
        <w:rPr>
          <w:rFonts w:ascii="Open Sans" w:hAnsi="Open Sans"/>
        </w:rPr>
      </w:pPr>
      <w:r>
        <w:rPr>
          <w:rFonts w:ascii="Open Sans" w:hAnsi="Open Sans"/>
        </w:rPr>
        <w:t>В случае факторизации целых чисел мы используем функцию стоимости, представленную уравнением (1), для оценки входных функций. В качестве первого теста мы рассматриваем факторизацию 35 с использованием четырёх стохастических нейронных сетей (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P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2</m:t>
        </m:r>
        <m:r>
          <w:rPr>
            <w:rFonts w:ascii="Cambria Math" w:hAnsi="Cambria Math"/>
          </w:rPr>
          <m:t xml:space="preserve">,</m:t>
        </m:r>
        <m:r>
          <w:rPr>
            <w:rFonts w:ascii="Cambria Math" w:hAnsi="Cambria Math"/>
          </w:rPr>
          <m:t xml:space="preserve">Q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2</m:t>
        </m:r>
      </m:oMath>
      <w:r>
        <w:rPr>
          <w:rFonts w:ascii="Open Sans" w:hAnsi="Open Sans"/>
        </w:rPr>
        <w:t xml:space="preserve">). В предлагаемом алгоритме синаптические входы включают нелинейные члены, которые эффективно обеспечивают как трёх-, так и четырёх-нейронные взаимодействия, наряду с традиционными линейными взаимодействиями между двумя нейронами. Соответственно, число до </w:t>
      </w:r>
      <w:r>
        <w:rPr>
          <w:rFonts w:ascii="Open Sans" w:hAnsi="Open Sans"/>
        </w:rPr>
      </w:r>
      <m:oMath xmlns:m="http://schemas.openxmlformats.org/officeDocument/2006/math">
        <m:sSup>
          <m:e>
            <m:r>
              <w:rPr>
                <w:rFonts w:ascii="Cambria Math" w:hAnsi="Cambria Math"/>
              </w:rPr>
              <m:t xml:space="preserve">2</m:t>
            </m:r>
          </m:e>
          <m:sup>
            <m:r>
              <w:rPr>
                <w:rFonts w:ascii="Cambria Math" w:hAnsi="Cambria Math"/>
              </w:rPr>
              <m:t xml:space="preserve">n</m:t>
            </m:r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2</m:t>
            </m:r>
          </m:sup>
        </m:sSup>
      </m:oMath>
      <w:r>
        <w:rPr>
          <w:rFonts w:ascii="Open Sans" w:hAnsi="Open Sans"/>
        </w:rPr>
        <w:t xml:space="preserve"> может быть закодировано согласно уравнению (1) с использованием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n</m:t>
        </m:r>
      </m:oMath>
      <w:r>
        <w:rPr>
          <w:rFonts w:ascii="Open Sans" w:hAnsi="Open Sans"/>
        </w:rPr>
        <w:t xml:space="preserve"> СБН. Этот подход требует меньше нейронов по сравнению с текущими схемами АКВ, главным образом благодаря дополнительной гибкости, обеспечиваемой нелинейными синапсами.</w:t>
      </w:r>
    </w:p>
    <w:p>
      <w:pPr>
        <w:pStyle w:val="TextBody"/>
        <w:rPr/>
      </w:pPr>
      <w:r>
        <w:rPr>
          <w:rFonts w:ascii="Open Sans" w:hAnsi="Open Sans"/>
        </w:rPr>
        <w:t xml:space="preserve">На </w:t>
      </w:r>
      <w:hyperlink w:anchor="fig:multi">
        <w:r>
          <w:rPr>
            <w:rStyle w:val="InternetLink"/>
            <w:rFonts w:ascii="Open Sans" w:hAnsi="Open Sans"/>
          </w:rPr>
          <w:t>рисунке 2</w:t>
        </w:r>
      </w:hyperlink>
      <w:r>
        <w:rPr>
          <w:rFonts w:ascii="Open Sans" w:hAnsi="Open Sans"/>
        </w:rPr>
        <w:t xml:space="preserve"> представлены трёхмерные гистограммы временных флуктуаций для пар чисел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{</m:t>
        </m:r>
        <m:sSub>
          <m:e>
            <m:r>
              <w:rPr>
                <w:rFonts w:ascii="Cambria Math" w:hAnsi="Cambria Math"/>
              </w:rPr>
              <m:t xml:space="preserve">x</m:t>
            </m:r>
          </m:e>
          <m:sub>
            <m:r>
              <w:rPr>
                <w:rFonts w:ascii="Cambria Math" w:hAnsi="Cambria Math"/>
              </w:rPr>
              <m:t xml:space="preserve">2</m:t>
            </m:r>
          </m:sub>
        </m:sSub>
        <m:r>
          <w:rPr>
            <w:rFonts w:ascii="Cambria Math" w:hAnsi="Cambria Math"/>
          </w:rPr>
          <m:t xml:space="preserve">,</m:t>
        </m:r>
        <m:sSub>
          <m:e>
            <m:r>
              <w:rPr>
                <w:rFonts w:ascii="Cambria Math" w:hAnsi="Cambria Math"/>
              </w:rPr>
              <m:t xml:space="preserve">x</m:t>
            </m:r>
          </m:e>
          <m:sub>
            <m:r>
              <w:rPr>
                <w:rFonts w:ascii="Cambria Math" w:hAnsi="Cambria Math"/>
              </w:rPr>
              <m:t xml:space="preserve">1</m:t>
            </m:r>
          </m:sub>
        </m:sSub>
        <m:r>
          <w:rPr>
            <w:rFonts w:ascii="Cambria Math" w:hAnsi="Cambria Math"/>
          </w:rPr>
          <m:t xml:space="preserve">,</m:t>
        </m:r>
        <m:r>
          <w:rPr>
            <w:rFonts w:ascii="Cambria Math" w:hAnsi="Cambria Math"/>
          </w:rPr>
          <m:t xml:space="preserve">1</m:t>
        </m:r>
        <m:r>
          <w:rPr>
            <w:rFonts w:ascii="Cambria Math" w:hAnsi="Cambria Math"/>
          </w:rPr>
          <m:t xml:space="preserve">}</m:t>
        </m:r>
      </m:oMath>
      <w:r>
        <w:rPr>
          <w:rFonts w:ascii="Open Sans" w:hAnsi="Open Sans"/>
        </w:rPr>
        <w:t xml:space="preserve"> и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{</m:t>
        </m:r>
        <m:sSub>
          <m:e>
            <m:r>
              <w:rPr>
                <w:rFonts w:ascii="Cambria Math" w:hAnsi="Cambria Math"/>
              </w:rPr>
              <m:t xml:space="preserve">y</m:t>
            </m:r>
          </m:e>
          <m:sub>
            <m:r>
              <w:rPr>
                <w:rFonts w:ascii="Cambria Math" w:hAnsi="Cambria Math"/>
              </w:rPr>
              <m:t xml:space="preserve">2</m:t>
            </m:r>
          </m:sub>
        </m:sSub>
        <m:r>
          <w:rPr>
            <w:rFonts w:ascii="Cambria Math" w:hAnsi="Cambria Math"/>
          </w:rPr>
          <m:t xml:space="preserve">,</m:t>
        </m:r>
        <m:sSub>
          <m:e>
            <m:r>
              <w:rPr>
                <w:rFonts w:ascii="Cambria Math" w:hAnsi="Cambria Math"/>
              </w:rPr>
              <m:t xml:space="preserve">y</m:t>
            </m:r>
          </m:e>
          <m:sub>
            <m:r>
              <w:rPr>
                <w:rFonts w:ascii="Cambria Math" w:hAnsi="Cambria Math"/>
              </w:rPr>
              <m:t xml:space="preserve">1</m:t>
            </m:r>
          </m:sub>
        </m:sSub>
        <m:r>
          <w:rPr>
            <w:rFonts w:ascii="Cambria Math" w:hAnsi="Cambria Math"/>
          </w:rPr>
          <m:t xml:space="preserve">,</m:t>
        </m:r>
        <m:r>
          <w:rPr>
            <w:rFonts w:ascii="Cambria Math" w:hAnsi="Cambria Math"/>
          </w:rPr>
          <m:t xml:space="preserve">1</m:t>
        </m:r>
        <m:r>
          <w:rPr>
            <w:rFonts w:ascii="Cambria Math" w:hAnsi="Cambria Math"/>
          </w:rPr>
          <m:t xml:space="preserve">}</m:t>
        </m:r>
      </m:oMath>
      <w:r>
        <w:rPr>
          <w:rFonts w:ascii="Open Sans" w:hAnsi="Open Sans"/>
        </w:rPr>
        <w:t xml:space="preserve">. Они изображены справа от некоррелированного состояния, полученного при установке всех входных функций в ноль. В некоррелированном состоянии (левая панель) СБН флуктуируют независимо. Однако при подаче ненулевого входного сигнала на сеть возникают два выраженных пика в точках </w:t>
      </w:r>
      <w:r>
        <w:rPr>
          <w:rFonts w:ascii="Open Sans" w:hAnsi="Open Sans"/>
        </w:rPr>
      </w:r>
      <m:oMath xmlns:m="http://schemas.openxmlformats.org/officeDocument/2006/math"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5</m:t>
            </m:r>
            <m:r>
              <w:rPr>
                <w:rFonts w:ascii="Cambria Math" w:hAnsi="Cambria Math"/>
              </w:rPr>
              <m:t xml:space="preserve">,</m:t>
            </m:r>
            <m:r>
              <w:rPr>
                <w:rFonts w:ascii="Cambria Math" w:hAnsi="Cambria Math"/>
              </w:rPr>
              <m:t xml:space="preserve">7</m:t>
            </m:r>
          </m:e>
        </m:d>
      </m:oMath>
      <w:r>
        <w:rPr>
          <w:rFonts w:ascii="Open Sans" w:hAnsi="Open Sans"/>
        </w:rPr>
        <w:t xml:space="preserve"> и </w:t>
      </w:r>
      <w:r>
        <w:rPr>
          <w:rFonts w:ascii="Open Sans" w:hAnsi="Open Sans"/>
        </w:rPr>
      </w:r>
      <m:oMath xmlns:m="http://schemas.openxmlformats.org/officeDocument/2006/math"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7</m:t>
            </m:r>
            <m:r>
              <w:rPr>
                <w:rFonts w:ascii="Cambria Math" w:hAnsi="Cambria Math"/>
              </w:rPr>
              <m:t xml:space="preserve">,</m:t>
            </m:r>
            <m:r>
              <w:rPr>
                <w:rFonts w:ascii="Cambria Math" w:hAnsi="Cambria Math"/>
              </w:rPr>
              <m:t xml:space="preserve">5</m:t>
            </m:r>
          </m:e>
        </m:d>
      </m:oMath>
      <w:r>
        <w:rPr>
          <w:rFonts w:ascii="Open Sans" w:hAnsi="Open Sans"/>
        </w:rPr>
        <w:t>, что демонстрирует корректную факторизацию 35 на 5 и 7 (правая панель).</w:t>
      </w:r>
    </w:p>
    <w:p>
      <w:pPr>
        <w:pStyle w:val="CaptionedFigure"/>
        <w:rPr>
          <w:rFonts w:ascii="Open Sans" w:hAnsi="Open Sans"/>
        </w:rPr>
      </w:pPr>
      <w:bookmarkStart w:id="7" w:name="fig%3Amulti"/>
      <w:r>
        <w:rPr>
          <w:rFonts w:ascii="Open Sans" w:hAnsi="Open Sans"/>
        </w:rPr>
        <w:drawing>
          <wp:inline distT="0" distB="0" distL="0" distR="0">
            <wp:extent cx="4762500" cy="2117090"/>
            <wp:effectExtent l="0" t="0" r="0" b="0"/>
            <wp:docPr id="2" name="Image2" descr="Некоррелированное (слева) и коррелированное (справа) состояние системы при использовании четырёх СБН для факторизации 35 = 5 \times 7 = 7 \times 5 (P = 2, Q = 2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Некоррелированное (слева) и коррелированное (справа) состояние системы при использовании четырёх СБН для факторизации 35 = 5 \times 7 = 7 \times 5 (P = 2, Q = 2).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>
      <w:pPr>
        <w:pStyle w:val="ImageCaption"/>
        <w:rPr>
          <w:rFonts w:ascii="Open Sans" w:hAnsi="Open Sans"/>
        </w:rPr>
      </w:pPr>
      <w:r>
        <w:rPr>
          <w:rFonts w:ascii="Open Sans" w:hAnsi="Open Sans"/>
        </w:rPr>
        <w:t xml:space="preserve">Рисунок 2: Некоррелированное (слева) и коррелированное (справа) состояние системы при использовании четырёх СБН для факторизации 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35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5</m:t>
        </m:r>
        <m:r>
          <w:rPr>
            <w:rFonts w:ascii="Cambria Math" w:hAnsi="Cambria Math"/>
          </w:rPr>
          <m:t xml:space="preserve">×</m:t>
        </m:r>
        <m:r>
          <w:rPr>
            <w:rFonts w:ascii="Cambria Math" w:hAnsi="Cambria Math"/>
          </w:rPr>
          <m:t xml:space="preserve">7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7</m:t>
        </m:r>
        <m:r>
          <w:rPr>
            <w:rFonts w:ascii="Cambria Math" w:hAnsi="Cambria Math"/>
          </w:rPr>
          <m:t xml:space="preserve">×</m:t>
        </m:r>
        <m:r>
          <w:rPr>
            <w:rFonts w:ascii="Cambria Math" w:hAnsi="Cambria Math"/>
          </w:rPr>
          <m:t xml:space="preserve">5</m:t>
        </m:r>
      </m:oMath>
      <w:r>
        <w:rPr>
          <w:rFonts w:ascii="Open Sans" w:hAnsi="Open Sans"/>
        </w:rPr>
        <w:t xml:space="preserve"> (</w:t>
      </w:r>
      <w:r>
        <w:rPr>
          <w:rFonts w:ascii="Open Sans" w:hAnsi="Open Sans"/>
        </w:rPr>
      </w:r>
      <m:oMath xmlns:m="http://schemas.openxmlformats.org/officeDocument/2006/math">
        <m:r>
          <w:rPr>
            <w:rFonts w:ascii="Cambria Math" w:hAnsi="Cambria Math"/>
          </w:rPr>
          <m:t xml:space="preserve">P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2</m:t>
        </m:r>
        <m:r>
          <w:rPr>
            <w:rFonts w:ascii="Cambria Math" w:hAnsi="Cambria Math"/>
          </w:rPr>
          <m:t xml:space="preserve">,</m:t>
        </m:r>
        <m:r>
          <w:rPr>
            <w:rFonts w:ascii="Cambria Math" w:hAnsi="Cambria Math"/>
          </w:rPr>
          <m:t xml:space="preserve">Q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2</m:t>
        </m:r>
      </m:oMath>
      <w:r>
        <w:rPr>
          <w:rFonts w:ascii="Open Sans" w:hAnsi="Open Sans"/>
        </w:rPr>
        <w:t>).</w:t>
      </w:r>
    </w:p>
    <w:p>
      <w:pPr>
        <w:pStyle w:val="TextBody"/>
        <w:rPr>
          <w:rFonts w:ascii="Open Sans" w:hAnsi="Open Sans"/>
        </w:rPr>
      </w:pPr>
      <w:r>
        <w:rPr>
          <w:rFonts w:ascii="Open Sans" w:hAnsi="Open Sans"/>
        </w:rPr>
        <w:t>Важно отметить, что детерминированные алгоритмы, реализуемые на полностью цифровых CMOS-системах, специализированы для выполнения факторизации. Однако по мере увеличения размера задачи таким системам требуется значительно больше времени для нахождения точного решения. С другой стороны, в случаях, когда допустимы приближённые решения, растёт интерес к аппаратным средствам, поддерживающим методы вероятностных вычислений.</w:t>
      </w:r>
    </w:p>
    <w:p>
      <w:pPr>
        <w:pStyle w:val="Heading2"/>
        <w:rPr>
          <w:rFonts w:ascii="Open Sans" w:hAnsi="Open Sans"/>
        </w:rPr>
      </w:pPr>
      <w:bookmarkStart w:id="8" w:name="физические-принципы"/>
      <w:r>
        <w:rPr>
          <w:rFonts w:ascii="Open Sans" w:hAnsi="Open Sans"/>
        </w:rPr>
        <w:t>Физические принципы</w:t>
      </w:r>
      <w:bookmarkEnd w:id="8"/>
    </w:p>
    <w:p>
      <w:pPr>
        <w:pStyle w:val="Heading3"/>
        <w:rPr>
          <w:rFonts w:ascii="Open Sans" w:hAnsi="Open Sans"/>
        </w:rPr>
      </w:pPr>
      <w:bookmarkStart w:id="9" w:name="фазовый-переход-в-nbn"/>
      <w:r>
        <w:rPr>
          <w:rFonts w:ascii="Open Sans" w:hAnsi="Open Sans"/>
        </w:rPr>
        <w:t>Фазовый переход в NbN</w:t>
      </w:r>
      <w:bookmarkEnd w:id="9"/>
    </w:p>
    <w:p>
      <w:pPr>
        <w:pStyle w:val="FirstParagraph"/>
        <w:rPr/>
      </w:pPr>
      <w:r>
        <w:rPr>
          <w:rFonts w:ascii="Open Sans" w:hAnsi="Open Sans"/>
        </w:rPr>
        <w:t xml:space="preserve">Стохастический характер перехода NbN в нормальное состояние обусловлен квантовыми и тепловыми флуктуациями, а также движением вихрей Абрикосова, которые могут временно закрепляться на дефектах и затем освобождаться. Иными словами, при приближении тока к критическому время жизни нанопровода в сверхпроводящем состоянии уменьшается из-за увеличения вероятности случайного перехода. После перехода в нормальное состояние материал нагревается за счет джоулева тепла, что предотвращает немедленный возврат в сверхпроводящее состояние при снижении тока ниже критического. Для восстановления сверхпроводимости ток должен быть существенно ниже критического. Это приводит к образованию гистерезисной петли на графике зависимости сопротивления от тока </w:t>
      </w:r>
      <w:hyperlink w:anchor="fig:gist">
        <w:r>
          <w:rPr>
            <w:rStyle w:val="InternetLink"/>
            <w:rFonts w:ascii="Open Sans" w:hAnsi="Open Sans"/>
          </w:rPr>
          <w:t>рис. 3</w:t>
        </w:r>
      </w:hyperlink>
      <w:r>
        <w:rPr>
          <w:rFonts w:ascii="Open Sans" w:hAnsi="Open Sans"/>
        </w:rPr>
        <w:t>.</w:t>
      </w:r>
    </w:p>
    <w:p>
      <w:pPr>
        <w:pStyle w:val="CaptionedFigure"/>
        <w:rPr>
          <w:rFonts w:ascii="Open Sans" w:hAnsi="Open Sans"/>
        </w:rPr>
      </w:pPr>
      <w:bookmarkStart w:id="10" w:name="fig%3Agist"/>
      <w:r>
        <w:rPr>
          <w:rFonts w:ascii="Open Sans" w:hAnsi="Open Sans"/>
        </w:rPr>
        <w:drawing>
          <wp:inline distT="0" distB="0" distL="0" distR="0">
            <wp:extent cx="4762500" cy="3635375"/>
            <wp:effectExtent l="0" t="0" r="0" b="0"/>
            <wp:docPr id="3" name="Image3" descr="Гистерезис в зависимости сопротивления от тока, измеренный на нанопроводе Nb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Гистерезис в зависимости сопротивления от тока, измеренный на нанопроводе NbN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>
      <w:pPr>
        <w:pStyle w:val="ImageCaption"/>
        <w:rPr>
          <w:rFonts w:ascii="Open Sans" w:hAnsi="Open Sans"/>
        </w:rPr>
      </w:pPr>
      <w:r>
        <w:rPr>
          <w:rFonts w:ascii="Open Sans" w:hAnsi="Open Sans"/>
        </w:rPr>
        <w:t xml:space="preserve">Рисунок </w:t>
      </w:r>
      <w:r>
        <w:rPr>
          <w:rFonts w:ascii="Open Sans" w:hAnsi="Open Sans"/>
        </w:rPr>
        <w:t>3</w:t>
      </w:r>
      <w:r>
        <w:rPr>
          <w:rFonts w:ascii="Open Sans" w:hAnsi="Open Sans"/>
        </w:rPr>
        <w:t>: Гистерезис в зависимости сопротивления от тока, измеренный на нанопроводе NbN</w:t>
      </w:r>
    </w:p>
    <w:p>
      <w:pPr>
        <w:pStyle w:val="Heading3"/>
        <w:rPr>
          <w:rFonts w:ascii="Open Sans" w:hAnsi="Open Sans"/>
        </w:rPr>
      </w:pPr>
      <w:bookmarkStart w:id="11" w:name="управление-фазовым-переходом-в-сбн"/>
      <w:r>
        <w:rPr>
          <w:rFonts w:ascii="Open Sans" w:hAnsi="Open Sans"/>
        </w:rPr>
        <w:t>Управление фазовым переходом в СБН</w:t>
      </w:r>
      <w:bookmarkEnd w:id="11"/>
    </w:p>
    <w:p>
      <w:pPr>
        <w:pStyle w:val="FirstParagraph"/>
        <w:rPr>
          <w:rFonts w:ascii="Open Sans" w:hAnsi="Open Sans"/>
        </w:rPr>
      </w:pPr>
      <w:r>
        <w:rPr>
          <w:rFonts w:ascii="Open Sans" w:hAnsi="Open Sans"/>
        </w:rPr>
        <w:t>Критический ток в нанопроводе из NbN при температуре 4.5 K не превышает 50 мкА. При превышении критического тока сверхпроводимость разрушается, и сопротивление резко возрастает с близкого к нулю до нескольких десятков килоом. Сверхпроводящее и нормальное состояния нанопровода NbN могут быть интерпретированы как два состояния бинарного нейрона. Для вычислений на таком нейроне необходимо реализовать три ключевых условия:</w:t>
      </w:r>
    </w:p>
    <w:p>
      <w:pPr>
        <w:pStyle w:val="Compact"/>
        <w:numPr>
          <w:ilvl w:val="0"/>
          <w:numId w:val="6"/>
        </w:numPr>
        <w:rPr>
          <w:rFonts w:ascii="Open Sans" w:hAnsi="Open Sans"/>
        </w:rPr>
      </w:pPr>
      <w:r>
        <w:rPr>
          <w:rFonts w:ascii="Open Sans" w:hAnsi="Open Sans"/>
        </w:rPr>
        <w:t>Контроль вероятности перехода между состояниями.</w:t>
      </w:r>
    </w:p>
    <w:p>
      <w:pPr>
        <w:pStyle w:val="Compact"/>
        <w:numPr>
          <w:ilvl w:val="0"/>
          <w:numId w:val="2"/>
        </w:numPr>
        <w:rPr>
          <w:rFonts w:ascii="Open Sans" w:hAnsi="Open Sans"/>
        </w:rPr>
      </w:pPr>
      <w:r>
        <w:rPr>
          <w:rFonts w:ascii="Open Sans" w:hAnsi="Open Sans"/>
        </w:rPr>
        <w:t>Достоверная фиксация перехода в нормальное состояние.</w:t>
      </w:r>
    </w:p>
    <w:p>
      <w:pPr>
        <w:pStyle w:val="Compact"/>
        <w:numPr>
          <w:ilvl w:val="0"/>
          <w:numId w:val="2"/>
        </w:numPr>
        <w:rPr>
          <w:rFonts w:ascii="Open Sans" w:hAnsi="Open Sans"/>
        </w:rPr>
      </w:pPr>
      <w:r>
        <w:rPr>
          <w:rFonts w:ascii="Open Sans" w:hAnsi="Open Sans"/>
        </w:rPr>
        <w:t>Возможность многократного повторения процесса перехода и фиксации.</w:t>
      </w:r>
    </w:p>
    <w:p>
      <w:pPr>
        <w:pStyle w:val="FirstParagraph"/>
        <w:rPr>
          <w:rFonts w:ascii="Open Sans" w:hAnsi="Open Sans"/>
        </w:rPr>
      </w:pPr>
      <w:r>
        <w:rPr>
          <w:rFonts w:ascii="Open Sans" w:hAnsi="Open Sans"/>
        </w:rPr>
        <w:t>Для достижения этих условий на нанопровод подается синусоидальный ток с регулируемой амплитудой. При увеличении амплитуды до значений, близких к критическому току, вероятность перехода в нормальное состояние возрастает за счет стохастических процессов. Таким образом, реализуется первое требование. После перехода в нормальное состояние система остается в нем до тех пор, пока ток не снизится практически до нуля, что создает временное окно для фиксации перехода (второе требование). На следующем такте подачи синусоидального тока система возвращается в начальное состояние, что позволяет повторять вычисления многократно (третье требование).</w:t>
      </w:r>
    </w:p>
    <w:p>
      <w:pPr>
        <w:pStyle w:val="TextBody"/>
        <w:rPr>
          <w:rFonts w:ascii="Open Sans" w:hAnsi="Open Sans"/>
        </w:rPr>
      </w:pPr>
      <w:r>
        <w:rPr>
          <w:rFonts w:ascii="Open Sans" w:hAnsi="Open Sans"/>
        </w:rPr>
        <w:t>Дополнительным преимуществом NbN является его технологичность, механическая прочность, а также высокая скорость переключения. Аналогичные материалы используются в однофотонных детекторах, где достигается быстродействие до 50 МГц.</w:t>
      </w:r>
    </w:p>
    <w:p>
      <w:pPr>
        <w:pStyle w:val="Heading2"/>
        <w:rPr>
          <w:rFonts w:ascii="Open Sans" w:hAnsi="Open Sans"/>
        </w:rPr>
      </w:pPr>
      <w:bookmarkStart w:id="12" w:name="физическая-реализация-сбн"/>
      <w:r>
        <w:rPr>
          <w:rFonts w:ascii="Open Sans" w:hAnsi="Open Sans"/>
        </w:rPr>
        <w:t>Физическая реализация СБН</w:t>
      </w:r>
      <w:bookmarkEnd w:id="12"/>
    </w:p>
    <w:p>
      <w:pPr>
        <w:pStyle w:val="FirstParagraph"/>
        <w:rPr/>
      </w:pPr>
      <w:r>
        <w:rPr>
          <w:rFonts w:ascii="Open Sans" w:hAnsi="Open Sans"/>
        </w:rPr>
        <w:t>Для физической реализации стохастического бинарного нейрона (СБН) в нашей лаборатории был выбран сверхпроводящий нитрид ниобия (NbN). Структура представляет собой тонкую полоску шириной 150–300 нм и длиной 5–15 мкм с подведенными контактами с обеих сторон (</w:t>
      </w:r>
      <w:hyperlink w:anchor="fig:im1opt">
        <w:r>
          <w:rPr>
            <w:rStyle w:val="InternetLink"/>
            <w:rFonts w:ascii="Open Sans" w:hAnsi="Open Sans"/>
          </w:rPr>
          <w:t>рис. 4</w:t>
        </w:r>
      </w:hyperlink>
      <w:r>
        <w:rPr>
          <w:rFonts w:ascii="Open Sans" w:hAnsi="Open Sans"/>
        </w:rPr>
        <w:t>). Из-за малых размеров полоски тепло, выделяющееся при переходе в нормальное состояние, не успевает рассеяться мгновенно. В результате NbN находится в режиме стохастических переключений между сверхпроводящим и нормальным состояниями, причем вероятность переключения определяется амплитудой приложенного напряжения. Это свойство лежит в основе работы стохастического бинарного нейрона.</w:t>
      </w:r>
    </w:p>
    <w:p>
      <w:pPr>
        <w:pStyle w:val="CaptionedFigure"/>
        <w:rPr>
          <w:rFonts w:ascii="Open Sans" w:hAnsi="Open Sans"/>
        </w:rPr>
      </w:pPr>
      <w:bookmarkStart w:id="13" w:name="fig%3Aim1opt"/>
      <w:r>
        <w:rPr>
          <w:rFonts w:ascii="Open Sans" w:hAnsi="Open Sans"/>
        </w:rPr>
        <w:drawing>
          <wp:inline distT="0" distB="0" distL="0" distR="0">
            <wp:extent cx="3333750" cy="2713990"/>
            <wp:effectExtent l="0" t="0" r="0" b="0"/>
            <wp:docPr id="4" name="Image4" descr="Оптическое изображение двух параллельных СБН из нитрида ниобия шириной 250 нм и 300 нм, с подведенными золотыми контактами. Показана центральная область чипа, размерная шкала 10 мкм. Тонкие полоски в середине и области зеленого цвета – нитрид ниобия, дорожки желтого цвета – золот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Оптическое изображение двух параллельных СБН из нитрида ниобия шириной 250 нм и 300 нм, с подведенными золотыми контактами. Показана центральная область чипа, размерная шкала 10 мкм. Тонкие полоски в середине и области зеленого цвета – нитрид ниобия, дорожки желтого цвета – золото.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>
      <w:pPr>
        <w:pStyle w:val="ImageCaption"/>
        <w:rPr>
          <w:rFonts w:ascii="Open Sans" w:hAnsi="Open Sans"/>
        </w:rPr>
      </w:pPr>
      <w:r>
        <w:rPr>
          <w:rFonts w:ascii="Open Sans" w:hAnsi="Open Sans"/>
        </w:rPr>
        <w:t xml:space="preserve">Рисунок </w:t>
      </w:r>
      <w:r>
        <w:rPr>
          <w:rFonts w:ascii="Open Sans" w:hAnsi="Open Sans"/>
        </w:rPr>
        <w:t>4</w:t>
      </w:r>
      <w:r>
        <w:rPr>
          <w:rFonts w:ascii="Open Sans" w:hAnsi="Open Sans"/>
        </w:rPr>
        <w:t>: Оптическое изображение двух параллельных СБН из нитрида ниобия шириной 250 нм и 300 нм, с подведенными золотыми контактами. Показана центральная область чипа, размерная шкала 10 мкм. Тонкие полоски в середине и области зеленого цвета – нитрид ниобия, дорожки желтого цвета – золото.</w:t>
      </w:r>
    </w:p>
    <w:p>
      <w:pPr>
        <w:pStyle w:val="Heading3"/>
        <w:rPr>
          <w:rFonts w:ascii="Open Sans" w:hAnsi="Open Sans"/>
        </w:rPr>
      </w:pPr>
      <w:bookmarkStart w:id="14" w:name="процесс-фабрикации"/>
      <w:r>
        <w:rPr>
          <w:rFonts w:ascii="Open Sans" w:hAnsi="Open Sans"/>
        </w:rPr>
        <w:t>Процесс фабрикации</w:t>
      </w:r>
      <w:bookmarkEnd w:id="14"/>
    </w:p>
    <w:p>
      <w:pPr>
        <w:pStyle w:val="FirstParagraph"/>
        <w:rPr>
          <w:rFonts w:ascii="Open Sans" w:hAnsi="Open Sans"/>
        </w:rPr>
      </w:pPr>
      <w:r>
        <w:rPr>
          <w:rFonts w:ascii="Open Sans" w:hAnsi="Open Sans"/>
        </w:rPr>
        <w:t>Фабрикация СБН производится на кремниевой подложке, покрытой слоем оксида кремния. Процесс включает несколько ключевых этапов:</w:t>
      </w:r>
    </w:p>
    <w:p>
      <w:pPr>
        <w:pStyle w:val="Normal"/>
        <w:numPr>
          <w:ilvl w:val="0"/>
          <w:numId w:val="7"/>
        </w:numPr>
        <w:rPr/>
      </w:pPr>
      <w:r>
        <w:rPr>
          <w:rFonts w:ascii="Open Sans" w:hAnsi="Open Sans"/>
        </w:rPr>
        <w:t>Формирование контактных площадок.</w:t>
        <w:br/>
        <w:t>На подложку напыляются золотые контакты и площадки, необходимые для подключения чипа к измерительному оборудованию (</w:t>
      </w:r>
      <w:hyperlink w:anchor="fig:im2opt">
        <w:r>
          <w:rPr>
            <w:rStyle w:val="InternetLink"/>
            <w:rFonts w:ascii="Open Sans" w:hAnsi="Open Sans"/>
          </w:rPr>
          <w:t>рис. 5</w:t>
        </w:r>
      </w:hyperlink>
      <w:r>
        <w:rPr>
          <w:rFonts w:ascii="Open Sans" w:hAnsi="Open Sans"/>
        </w:rPr>
        <w:t>).</w:t>
      </w:r>
    </w:p>
    <w:p>
      <w:pPr>
        <w:pStyle w:val="CaptionedFigure"/>
        <w:numPr>
          <w:ilvl w:val="0"/>
          <w:numId w:val="1"/>
        </w:numPr>
        <w:rPr>
          <w:rFonts w:ascii="Open Sans" w:hAnsi="Open Sans"/>
        </w:rPr>
      </w:pPr>
      <w:bookmarkStart w:id="15" w:name="fig%3Aim2opt"/>
      <w:r>
        <w:rPr>
          <w:rFonts w:ascii="Open Sans" w:hAnsi="Open Sans"/>
        </w:rPr>
        <w:drawing>
          <wp:inline distT="0" distB="0" distL="0" distR="0">
            <wp:extent cx="3333750" cy="2371090"/>
            <wp:effectExtent l="0" t="0" r="0" b="0"/>
            <wp:docPr id="5" name="Image5" descr="Оптическое изображение чипа с золотыми контактами и площадками. Размер области ~2×1,5 мм. На золотые площадки в дальнейшем устанавливаются золотые проволоки, идущие на переходную плату для подключения чипа к измерительному оборудованию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Оптическое изображение чипа с золотыми контактами и площадками. Размер области ~2×1,5 мм. На золотые площадки в дальнейшем устанавливаются золотые проволоки, идущие на переходную плату для подключения чипа к измерительному оборудованию.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>
      <w:pPr>
        <w:pStyle w:val="ImageCaption"/>
        <w:numPr>
          <w:ilvl w:val="0"/>
          <w:numId w:val="1"/>
        </w:numPr>
        <w:rPr>
          <w:rFonts w:ascii="Open Sans" w:hAnsi="Open Sans"/>
        </w:rPr>
      </w:pPr>
      <w:r>
        <w:rPr>
          <w:rFonts w:ascii="Open Sans" w:hAnsi="Open Sans"/>
        </w:rPr>
        <w:t xml:space="preserve">Рисунок </w:t>
      </w:r>
      <w:r>
        <w:rPr>
          <w:rFonts w:ascii="Open Sans" w:hAnsi="Open Sans"/>
        </w:rPr>
        <w:t>5</w:t>
      </w:r>
      <w:r>
        <w:rPr>
          <w:rFonts w:ascii="Open Sans" w:hAnsi="Open Sans"/>
        </w:rPr>
        <w:t>: Оптическое изображение чипа с золотыми контактами и площадками. Размер области ~2×1,5 мм. На золотые площадки в дальнейшем устанавливаются золотые проволоки, идущие на переходную плату для подключения чипа к измерительному оборудованию.</w:t>
      </w:r>
    </w:p>
    <w:p>
      <w:pPr>
        <w:pStyle w:val="Normal"/>
        <w:numPr>
          <w:ilvl w:val="0"/>
          <w:numId w:val="8"/>
        </w:numPr>
        <w:rPr/>
      </w:pPr>
      <w:r>
        <w:rPr>
          <w:rFonts w:ascii="Open Sans" w:hAnsi="Open Sans"/>
        </w:rPr>
        <w:t>Напыление нитрида ниобия.</w:t>
        <w:br/>
        <w:t>Поверх контактов напыляется слой нитрида ниобия (20–25 нм) с подслоем из ниобия (5 нм). Оба слоя наносятся последовательно в рамках одного технологического процесса через предварительно подготовленную маску. Это позволяет сформировать узкие полоски NbN с перекрытием на золотых контактах (</w:t>
      </w:r>
      <w:hyperlink w:anchor="fig:im3design">
        <w:r>
          <w:rPr>
            <w:rStyle w:val="InternetLink"/>
            <w:rFonts w:ascii="Open Sans" w:hAnsi="Open Sans"/>
          </w:rPr>
          <w:t>рис. 6</w:t>
        </w:r>
      </w:hyperlink>
      <w:r>
        <w:rPr>
          <w:rFonts w:ascii="Open Sans" w:hAnsi="Open Sans"/>
        </w:rPr>
        <w:t>).</w:t>
      </w:r>
    </w:p>
    <w:p>
      <w:pPr>
        <w:pStyle w:val="CaptionedFigure"/>
        <w:numPr>
          <w:ilvl w:val="0"/>
          <w:numId w:val="1"/>
        </w:numPr>
        <w:rPr>
          <w:rFonts w:ascii="Open Sans" w:hAnsi="Open Sans"/>
        </w:rPr>
      </w:pPr>
      <w:bookmarkStart w:id="16" w:name="fig%3Aim3design"/>
      <w:r>
        <w:rPr>
          <w:rFonts w:ascii="Open Sans" w:hAnsi="Open Sans"/>
        </w:rPr>
        <w:drawing>
          <wp:inline distT="0" distB="0" distL="0" distR="0">
            <wp:extent cx="5334000" cy="1855470"/>
            <wp:effectExtent l="0" t="0" r="0" b="0"/>
            <wp:docPr id="6" name="Image6" descr="Разработанный дизайн (слева) и оптическое изображение готового чипа (справа) из четырех параллельно расположенных СБН шириной 250 нм с подведенными золотыми контактами. Показана центральная область чипа, примерный размер области на оптическом изображении 60х40 мкм. Тонкие полоски в середине, и области зеленого цвета - нитрид ниобия, дорожки желтого цвета - золот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Разработанный дизайн (слева) и оптическое изображение готового чипа (справа) из четырех параллельно расположенных СБН шириной 250 нм с подведенными золотыми контактами. Показана центральная область чипа, примерный размер области на оптическом изображении 60х40 мкм. Тонкие полоски в середине, и области зеленого цвета - нитрид ниобия, дорожки желтого цвета - золото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>
      <w:pPr>
        <w:pStyle w:val="ImageCaption"/>
        <w:numPr>
          <w:ilvl w:val="0"/>
          <w:numId w:val="1"/>
        </w:numPr>
        <w:rPr>
          <w:rFonts w:ascii="Open Sans" w:hAnsi="Open Sans"/>
        </w:rPr>
      </w:pPr>
      <w:r>
        <w:rPr>
          <w:rFonts w:ascii="Open Sans" w:hAnsi="Open Sans"/>
        </w:rPr>
        <w:t xml:space="preserve">Рисунок </w:t>
      </w:r>
      <w:r>
        <w:rPr>
          <w:rFonts w:ascii="Open Sans" w:hAnsi="Open Sans"/>
        </w:rPr>
        <w:t>6</w:t>
      </w:r>
      <w:r>
        <w:rPr>
          <w:rFonts w:ascii="Open Sans" w:hAnsi="Open Sans"/>
        </w:rPr>
        <w:t>: Разработанный дизайн (слева) и оптическое изображение готового чипа (справа) из четырех параллельно расположенных СБН шириной 250 нм с подведенными золотыми контактами. Показана центральная область чипа, примерный размер области на оптическом изображении 60х40 мкм. Тонкие полоски в середине, и области зеленого цвета - нитрид ниобия, дорожки желтого цвета - золото.</w:t>
      </w:r>
    </w:p>
    <w:p>
      <w:pPr>
        <w:pStyle w:val="Normal"/>
        <w:numPr>
          <w:ilvl w:val="0"/>
          <w:numId w:val="9"/>
        </w:numPr>
        <w:rPr>
          <w:rFonts w:ascii="Open Sans" w:hAnsi="Open Sans"/>
        </w:rPr>
      </w:pPr>
      <w:r>
        <w:rPr>
          <w:rFonts w:ascii="Open Sans" w:hAnsi="Open Sans"/>
        </w:rPr>
        <w:t>Оптимизация толщины нитрида ниобия.</w:t>
        <w:br/>
        <w:t>В первых версиях устройства толщина NbN составляла ~50 нм, но измерения показали отсутствие гистерезиса – ключевого эффекта, необходимого для стохастических переключений. Уменьшение толщины NbN вдвое позволило добиться требуемого гистерезиса.</w:t>
      </w:r>
    </w:p>
    <w:p>
      <w:pPr>
        <w:pStyle w:val="Normal"/>
        <w:numPr>
          <w:ilvl w:val="0"/>
          <w:numId w:val="10"/>
        </w:numPr>
        <w:rPr>
          <w:rFonts w:ascii="Open Sans" w:hAnsi="Open Sans"/>
        </w:rPr>
      </w:pPr>
      <w:r>
        <w:rPr>
          <w:rFonts w:ascii="Open Sans" w:hAnsi="Open Sans"/>
        </w:rPr>
        <w:t>Электронно-лучевая литография.</w:t>
        <w:br/>
        <w:t>Формирование масок для напыления золота и NbN выполняется методом электронно-лучевой литографии. Этот процесс подвержен уширению рисунка, зависящему от параметров экспозиции, что может приводить к расхождению реальной ширины полосок с заданной в дизайне. Были проведены тесты для точной калибровки размеров структур.</w:t>
      </w:r>
    </w:p>
    <w:p>
      <w:pPr>
        <w:pStyle w:val="Normal"/>
        <w:numPr>
          <w:ilvl w:val="0"/>
          <w:numId w:val="11"/>
        </w:numPr>
        <w:rPr>
          <w:rFonts w:ascii="Open Sans" w:hAnsi="Open Sans"/>
        </w:rPr>
      </w:pPr>
      <w:r>
        <w:rPr>
          <w:rFonts w:ascii="Open Sans" w:hAnsi="Open Sans"/>
        </w:rPr>
        <w:t>Финальная сборка.</w:t>
        <w:br/>
        <w:t>На завершающем этапе на золотые площадки чипа устанавливаются золотые проволочные соединения, соединяющие сигнальные линии СБН с переходной платой и измерительным оборудованием.</w:t>
      </w:r>
    </w:p>
    <w:p>
      <w:pPr>
        <w:pStyle w:val="Heading3"/>
        <w:rPr>
          <w:rFonts w:ascii="Open Sans" w:hAnsi="Open Sans"/>
        </w:rPr>
      </w:pPr>
      <w:bookmarkStart w:id="17" w:name="альтернативный-метод-изготовления"/>
      <w:r>
        <w:rPr>
          <w:rFonts w:ascii="Open Sans" w:hAnsi="Open Sans"/>
        </w:rPr>
        <w:t>Альтернативный метод изготовления</w:t>
      </w:r>
      <w:bookmarkEnd w:id="17"/>
    </w:p>
    <w:p>
      <w:pPr>
        <w:pStyle w:val="FirstParagraph"/>
        <w:rPr>
          <w:rFonts w:ascii="Open Sans" w:hAnsi="Open Sans"/>
        </w:rPr>
      </w:pPr>
      <w:r>
        <w:rPr>
          <w:rFonts w:ascii="Open Sans" w:hAnsi="Open Sans"/>
        </w:rPr>
        <w:t>Для улучшения параметров нейрона исследуется альтернативный метод фабрикации, основанный на вытравливании полосок из цельного слоя NbN, нанесенного на всю кремниевую подложку. Такой подход позволяет:</w:t>
      </w:r>
    </w:p>
    <w:p>
      <w:pPr>
        <w:pStyle w:val="Compact"/>
        <w:numPr>
          <w:ilvl w:val="0"/>
          <w:numId w:val="4"/>
        </w:numPr>
        <w:rPr>
          <w:rFonts w:ascii="Open Sans" w:hAnsi="Open Sans"/>
        </w:rPr>
      </w:pPr>
      <w:r>
        <w:rPr>
          <w:rFonts w:ascii="Open Sans" w:hAnsi="Open Sans"/>
        </w:rPr>
        <w:t>Использовать более высокие температуры напыления (&gt;300°C), что улучшает кристаллическую структуру материала.</w:t>
      </w:r>
    </w:p>
    <w:p>
      <w:pPr>
        <w:pStyle w:val="Compact"/>
        <w:numPr>
          <w:ilvl w:val="0"/>
          <w:numId w:val="4"/>
        </w:numPr>
        <w:rPr>
          <w:rFonts w:ascii="Open Sans" w:hAnsi="Open Sans"/>
        </w:rPr>
      </w:pPr>
      <w:r>
        <w:rPr>
          <w:rFonts w:ascii="Open Sans" w:hAnsi="Open Sans"/>
        </w:rPr>
        <w:t>Повысить однородность структуры, что потенциально увеличит стабильность работы нейрона.</w:t>
      </w:r>
    </w:p>
    <w:p>
      <w:pPr>
        <w:pStyle w:val="FirstParagraph"/>
        <w:rPr>
          <w:rFonts w:ascii="Open Sans" w:hAnsi="Open Sans"/>
        </w:rPr>
      </w:pPr>
      <w:r>
        <w:rPr>
          <w:rFonts w:ascii="Open Sans" w:hAnsi="Open Sans"/>
        </w:rPr>
        <w:t xml:space="preserve">Травление производится методом сухого плазмохимического травления в смеси газов Ar и </w:t>
      </w:r>
      <w:r>
        <w:rPr>
          <w:rFonts w:ascii="Open Sans" w:hAnsi="Open Sans"/>
        </w:rPr>
      </w:r>
      <m:oMath xmlns:m="http://schemas.openxmlformats.org/officeDocument/2006/math">
        <m:sSub>
          <m:e>
            <m:r>
              <m:rPr>
                <m:lit/>
                <m:nor/>
              </m:rPr>
              <w:rPr>
                <w:rFonts w:ascii="Cambria Math" w:hAnsi="Cambria Math"/>
              </w:rPr>
              <m:t xml:space="preserve">SF</m:t>
            </m:r>
          </m:e>
          <m:sub>
            <m:r>
              <w:rPr>
                <w:rFonts w:ascii="Cambria Math" w:hAnsi="Cambria Math"/>
              </w:rPr>
              <m:t xml:space="preserve">6</m:t>
            </m:r>
          </m:sub>
        </m:sSub>
      </m:oMath>
      <w:r>
        <w:rPr>
          <w:rFonts w:ascii="Open Sans" w:hAnsi="Open Sans"/>
        </w:rPr>
        <w:t>. Маска для травления создается методом электронно-лучевой литографии.</w:t>
      </w:r>
    </w:p>
    <w:p>
      <w:pPr>
        <w:pStyle w:val="Heading3"/>
        <w:rPr>
          <w:rFonts w:ascii="Open Sans" w:hAnsi="Open Sans"/>
        </w:rPr>
      </w:pPr>
      <w:bookmarkStart w:id="18" w:name="оптимизация-работы-на-высоких-частотах"/>
      <w:r>
        <w:rPr>
          <w:rFonts w:ascii="Open Sans" w:hAnsi="Open Sans"/>
        </w:rPr>
        <w:t>Оптимизация работы на высоких частотах</w:t>
      </w:r>
      <w:bookmarkEnd w:id="18"/>
    </w:p>
    <w:p>
      <w:pPr>
        <w:pStyle w:val="FirstParagraph"/>
        <w:rPr/>
      </w:pPr>
      <w:r>
        <w:rPr>
          <w:rFonts w:ascii="Open Sans" w:hAnsi="Open Sans"/>
        </w:rPr>
        <w:t xml:space="preserve">Для работы СБН на высоких частотах (с минимальными потерями мощности) между его выводами и золотыми площадками на чипе добавлены согласующие тэперы – дорожки специального дизайна с плавным расширением ширины. Они уменьшают отражение сигналов на высоких частотах, улучшая согласование импедансов. Пример таких тэперов показан на </w:t>
      </w:r>
      <w:hyperlink w:anchor="fig:im4taper">
        <w:r>
          <w:rPr>
            <w:rStyle w:val="InternetLink"/>
            <w:rFonts w:ascii="Open Sans" w:hAnsi="Open Sans"/>
          </w:rPr>
          <w:t>рис. 7</w:t>
        </w:r>
      </w:hyperlink>
      <w:r>
        <w:rPr>
          <w:rFonts w:ascii="Open Sans" w:hAnsi="Open Sans"/>
        </w:rPr>
        <w:t>.</w:t>
      </w:r>
    </w:p>
    <w:p>
      <w:pPr>
        <w:pStyle w:val="CaptionedFigure"/>
        <w:rPr>
          <w:rFonts w:ascii="Open Sans" w:hAnsi="Open Sans"/>
        </w:rPr>
      </w:pPr>
      <w:bookmarkStart w:id="19" w:name="fig%3Aim4taper"/>
      <w:r>
        <w:rPr>
          <w:rFonts w:ascii="Open Sans" w:hAnsi="Open Sans"/>
        </w:rPr>
        <w:drawing>
          <wp:inline distT="0" distB="0" distL="0" distR="0">
            <wp:extent cx="4762500" cy="4117975"/>
            <wp:effectExtent l="0" t="0" r="0" b="0"/>
            <wp:docPr id="7" name="Image7" descr="Оптическое изображение согласующих тэперов, размерная шкала 100 мк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Оптическое изображение согласующих тэперов, размерная шкала 100 мкм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>
      <w:pPr>
        <w:pStyle w:val="ImageCaption"/>
        <w:rPr>
          <w:rFonts w:ascii="Open Sans" w:hAnsi="Open Sans"/>
        </w:rPr>
      </w:pPr>
      <w:r>
        <w:rPr>
          <w:rFonts w:ascii="Open Sans" w:hAnsi="Open Sans"/>
        </w:rPr>
        <w:t xml:space="preserve">Рисунок </w:t>
      </w:r>
      <w:r>
        <w:rPr>
          <w:rFonts w:ascii="Open Sans" w:hAnsi="Open Sans"/>
        </w:rPr>
        <w:t>7:</w:t>
      </w:r>
      <w:r>
        <w:rPr>
          <w:rFonts w:ascii="Open Sans" w:hAnsi="Open Sans"/>
        </w:rPr>
        <w:t xml:space="preserve"> Оптическое изображение согласующих тэперов, размерная шкала 100 мкм.</w:t>
      </w:r>
    </w:p>
    <w:p>
      <w:pPr>
        <w:pStyle w:val="Heading2"/>
        <w:rPr>
          <w:rFonts w:ascii="Open Sans" w:hAnsi="Open Sans"/>
        </w:rPr>
      </w:pPr>
      <w:bookmarkStart w:id="20" w:name="характеризация-полученных-сбн"/>
      <w:r>
        <w:rPr>
          <w:rFonts w:ascii="Open Sans" w:hAnsi="Open Sans"/>
        </w:rPr>
        <w:t>Характеризация полученных СБН</w:t>
      </w:r>
      <w:bookmarkEnd w:id="20"/>
    </w:p>
    <w:p>
      <w:pPr>
        <w:pStyle w:val="Heading3"/>
        <w:rPr>
          <w:rFonts w:ascii="Open Sans" w:hAnsi="Open Sans"/>
        </w:rPr>
      </w:pPr>
      <w:bookmarkStart w:id="21" w:name="экспериментальная-установка"/>
      <w:r>
        <w:rPr>
          <w:rFonts w:ascii="Open Sans" w:hAnsi="Open Sans"/>
        </w:rPr>
        <w:t>Экспериментальная установка</w:t>
      </w:r>
      <w:bookmarkEnd w:id="21"/>
    </w:p>
    <w:p>
      <w:pPr>
        <w:pStyle w:val="FirstParagraph"/>
        <w:rPr/>
      </w:pPr>
      <w:r>
        <w:rPr>
          <w:rFonts w:ascii="Open Sans" w:hAnsi="Open Sans"/>
        </w:rPr>
        <w:t>Эксперимент проводился на нанопроводе NbN при частоте тактового генератора 500 кГц. Генератор позволял изменять амплитуду выходного сигнала и его постоянное смещение. Сигнал подавался через сверхпроводящий нанопровод на вход осциллографа с нагрузкой 50 Ом. При переходе нанопровода в нормальное состояние его сопротивление возрастало, что приводило к падению тока и фиксировалось на осциллографе в виде провала сигнала (</w:t>
      </w:r>
      <w:hyperlink w:anchor="fig:signal">
        <w:r>
          <w:rPr>
            <w:rStyle w:val="InternetLink"/>
            <w:rFonts w:ascii="Open Sans" w:hAnsi="Open Sans"/>
          </w:rPr>
          <w:t>рис. 8</w:t>
        </w:r>
      </w:hyperlink>
      <w:r>
        <w:rPr>
          <w:rFonts w:ascii="Open Sans" w:hAnsi="Open Sans"/>
        </w:rPr>
        <w:t>).</w:t>
      </w:r>
    </w:p>
    <w:p>
      <w:pPr>
        <w:pStyle w:val="CaptionedFigure"/>
        <w:rPr>
          <w:rFonts w:ascii="Open Sans" w:hAnsi="Open Sans"/>
        </w:rPr>
      </w:pPr>
      <w:bookmarkStart w:id="22" w:name="fig%3Asignal"/>
      <w:r>
        <w:rPr>
          <w:rFonts w:ascii="Open Sans" w:hAnsi="Open Sans"/>
        </w:rPr>
        <w:drawing>
          <wp:inline distT="0" distB="0" distL="0" distR="0">
            <wp:extent cx="4762500" cy="3389630"/>
            <wp:effectExtent l="0" t="0" r="0" b="0"/>
            <wp:docPr id="8" name="Image8" descr="Сигнал с осциллографа, на котором зафиксировано два перехода в нормальное состоя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Сигнал с осциллографа, на котором зафиксировано два перехода в нормальное состояние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  <w:rPr>
          <w:rFonts w:ascii="Open Sans" w:hAnsi="Open Sans"/>
        </w:rPr>
      </w:pPr>
      <w:r>
        <w:rPr>
          <w:rFonts w:ascii="Open Sans" w:hAnsi="Open Sans"/>
        </w:rPr>
        <w:t xml:space="preserve">Рисунок </w:t>
      </w:r>
      <w:r>
        <w:rPr>
          <w:rFonts w:ascii="Open Sans" w:hAnsi="Open Sans"/>
        </w:rPr>
        <w:t>8</w:t>
      </w:r>
      <w:r>
        <w:rPr>
          <w:rFonts w:ascii="Open Sans" w:hAnsi="Open Sans"/>
        </w:rPr>
        <w:t>: Сигнал с осциллографа, на котором зафиксировано два перехода в нормальное состояние</w:t>
      </w:r>
    </w:p>
    <w:p>
      <w:pPr>
        <w:pStyle w:val="TextBody"/>
        <w:rPr/>
      </w:pPr>
      <w:r>
        <w:rPr>
          <w:rFonts w:ascii="Open Sans" w:hAnsi="Open Sans"/>
        </w:rPr>
        <w:t>Была снята зависимость выходного сигнала от амплитуды синусоиды и смещения. Далее данные обрабатывались, и для каждого такта определялся факт перехода или его отсутствие. Полученные бинарные последовательности использовались для анализа вероятности перехода в зависимости от управляющего сигнала. Также была рассчитана автокорреляционная функция (</w:t>
      </w:r>
      <w:hyperlink w:anchor="fig:corel1">
        <w:r>
          <w:rPr>
            <w:rStyle w:val="InternetLink"/>
            <w:rFonts w:ascii="Open Sans" w:hAnsi="Open Sans"/>
          </w:rPr>
          <w:t>рис. 9</w:t>
        </w:r>
      </w:hyperlink>
      <w:r>
        <w:rPr>
          <w:rFonts w:ascii="Open Sans" w:hAnsi="Open Sans"/>
        </w:rPr>
        <w:t xml:space="preserve"> и </w:t>
      </w:r>
      <w:hyperlink w:anchor="fig:corel2">
        <w:r>
          <w:rPr>
            <w:rStyle w:val="InternetLink"/>
            <w:rFonts w:ascii="Open Sans" w:hAnsi="Open Sans"/>
          </w:rPr>
          <w:t>рис. 10</w:t>
        </w:r>
      </w:hyperlink>
      <w:r>
        <w:rPr>
          <w:rFonts w:ascii="Open Sans" w:hAnsi="Open Sans"/>
        </w:rPr>
        <w:t>) и проведены статистические тесты.</w:t>
      </w:r>
    </w:p>
    <w:p>
      <w:pPr>
        <w:pStyle w:val="CaptionedFigure"/>
        <w:rPr>
          <w:rFonts w:ascii="Open Sans" w:hAnsi="Open Sans"/>
        </w:rPr>
      </w:pPr>
      <w:bookmarkStart w:id="23" w:name="fig%3Acorel1"/>
      <w:r>
        <w:rPr>
          <w:rFonts w:ascii="Open Sans" w:hAnsi="Open Sans"/>
        </w:rPr>
        <w:drawing>
          <wp:inline distT="0" distB="0" distL="0" distR="0">
            <wp:extent cx="4762500" cy="3521075"/>
            <wp:effectExtent l="0" t="0" r="0" b="0"/>
            <wp:docPr id="9" name="Image9" descr="Пример автокорреляционной функции для данных с явной периодичностью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Пример автокорреляционной функции для данных с явной периодичностью.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  <w:rPr>
          <w:rFonts w:ascii="Open Sans" w:hAnsi="Open Sans"/>
        </w:rPr>
      </w:pPr>
      <w:r>
        <w:rPr>
          <w:rFonts w:ascii="Open Sans" w:hAnsi="Open Sans"/>
        </w:rPr>
        <w:t xml:space="preserve">Рисунок </w:t>
      </w:r>
      <w:r>
        <w:rPr>
          <w:rFonts w:ascii="Open Sans" w:hAnsi="Open Sans"/>
        </w:rPr>
        <w:t>9</w:t>
      </w:r>
      <w:r>
        <w:rPr>
          <w:rFonts w:ascii="Open Sans" w:hAnsi="Open Sans"/>
        </w:rPr>
        <w:t>: Пример автокорреляционной функции для данных с явной периодичностью.</w:t>
      </w:r>
    </w:p>
    <w:p>
      <w:pPr>
        <w:pStyle w:val="CaptionedFigure"/>
        <w:rPr>
          <w:rFonts w:ascii="Open Sans" w:hAnsi="Open Sans"/>
        </w:rPr>
      </w:pPr>
      <w:bookmarkStart w:id="24" w:name="fig%3Acorel2"/>
      <w:r>
        <w:rPr>
          <w:rFonts w:ascii="Open Sans" w:hAnsi="Open Sans"/>
        </w:rPr>
        <w:drawing>
          <wp:inline distT="0" distB="0" distL="0" distR="0">
            <wp:extent cx="4762500" cy="3517900"/>
            <wp:effectExtent l="0" t="0" r="0" b="0"/>
            <wp:docPr id="10" name="Image10" descr="Пример автокорреляционной функции для данных близких к случайны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Пример автокорреляционной функции для данных близких к случайным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  <w:rPr>
          <w:rFonts w:ascii="Open Sans" w:hAnsi="Open Sans"/>
        </w:rPr>
      </w:pPr>
      <w:r>
        <w:rPr>
          <w:rFonts w:ascii="Open Sans" w:hAnsi="Open Sans"/>
        </w:rPr>
        <w:t xml:space="preserve">Рисунок </w:t>
      </w:r>
      <w:r>
        <w:rPr>
          <w:rFonts w:ascii="Open Sans" w:hAnsi="Open Sans"/>
        </w:rPr>
        <w:t>10</w:t>
      </w:r>
      <w:r>
        <w:rPr>
          <w:rFonts w:ascii="Open Sans" w:hAnsi="Open Sans"/>
        </w:rPr>
        <w:t>: Пример автокорреляционной функции для данных близких к случайным</w:t>
      </w:r>
    </w:p>
    <w:p>
      <w:pPr>
        <w:pStyle w:val="Heading3"/>
        <w:rPr>
          <w:rFonts w:ascii="Open Sans" w:hAnsi="Open Sans"/>
        </w:rPr>
      </w:pPr>
      <w:bookmarkStart w:id="25" w:name="оценка-случайности-переходов"/>
      <w:r>
        <w:rPr>
          <w:rFonts w:ascii="Open Sans" w:hAnsi="Open Sans"/>
        </w:rPr>
        <w:t>Оценка случайности переходов</w:t>
      </w:r>
      <w:bookmarkEnd w:id="25"/>
    </w:p>
    <w:p>
      <w:pPr>
        <w:pStyle w:val="FirstParagraph"/>
        <w:rPr>
          <w:rFonts w:ascii="Open Sans" w:hAnsi="Open Sans"/>
        </w:rPr>
      </w:pPr>
      <w:r>
        <w:rPr>
          <w:rFonts w:ascii="Open Sans" w:hAnsi="Open Sans"/>
        </w:rPr>
        <w:t>Для оценки случайности бинарных последовательностей использовался пакет NIST “A Statistical Test Suite for Random and Pseudorandom Number Generators for Cryptographic Applications”. Из 16 тестов успешно проходилось от 2 до 4, в зависимости от анализируемой серии данных. При этом некоторые тесты заведомо не могут быть пройдены, так как проверяют равновероятное распределение двух состояний, что не соответствует физике процесса.</w:t>
      </w:r>
    </w:p>
    <w:p>
      <w:pPr>
        <w:pStyle w:val="TextBody"/>
        <w:rPr>
          <w:rFonts w:ascii="Open Sans" w:hAnsi="Open Sans"/>
        </w:rPr>
      </w:pPr>
      <w:r>
        <w:rPr>
          <w:rFonts w:ascii="Open Sans" w:hAnsi="Open Sans"/>
        </w:rPr>
        <w:t>Малое количество успешно пройденных тестов, вероятно, связано с присутствием внешних детерминированных помех, влияющих на процесс перехода. В настоящее время проводится модернизация измерительного стенда с учетом возможных источников этих помех.</w:t>
      </w:r>
    </w:p>
    <w:p>
      <w:pPr>
        <w:pStyle w:val="Heading2"/>
        <w:rPr>
          <w:rFonts w:ascii="Open Sans" w:hAnsi="Open Sans"/>
        </w:rPr>
      </w:pPr>
      <w:bookmarkStart w:id="26" w:name="заключение"/>
      <w:r>
        <w:rPr>
          <w:rFonts w:ascii="Open Sans" w:hAnsi="Open Sans"/>
        </w:rPr>
        <w:t>Заключение</w:t>
      </w:r>
      <w:bookmarkEnd w:id="26"/>
    </w:p>
    <w:p>
      <w:pPr>
        <w:pStyle w:val="FirstParagraph"/>
        <w:rPr>
          <w:rFonts w:ascii="Open Sans" w:hAnsi="Open Sans"/>
        </w:rPr>
      </w:pPr>
      <w:r>
        <w:rPr>
          <w:rFonts w:ascii="Open Sans" w:hAnsi="Open Sans"/>
        </w:rPr>
        <w:t>Стохастические бинарные нейроны представляют собой перспективное направление в области вероятностных вычислений, объединяя физическую стохастичность сверхпроводниковых нанопроводов с эффективными алгоритмическими методами, такими как машины Больцмана и методы Монте-Карло. Разработка и исследование таких устройств позволяют не только глубже понять фундаментальные принципы фазовых переходов в низкоразмерных материалах, но и создать энергоэффективные вычислительные системы нового поколения.</w:t>
      </w:r>
    </w:p>
    <w:p>
      <w:pPr>
        <w:pStyle w:val="TextBody"/>
        <w:rPr>
          <w:rFonts w:ascii="Open Sans" w:hAnsi="Open Sans"/>
        </w:rPr>
      </w:pPr>
      <w:r>
        <w:rPr>
          <w:rFonts w:ascii="Open Sans" w:hAnsi="Open Sans"/>
        </w:rPr>
        <w:t>Реализация СБН на основе нанопроводов NbN открывает возможности для аппаратного ускорения стохастических вычислений, а оптимизация их конструкции и технологии изготовления позволит улучшить стабильность работы и расширить диапазон применений. В дальнейшем масштабирование архитектур на основе СБН может привести к созданию специализированных процессоров, способных решать сложные вероятностные задачи быстрее и с меньшими затратами энергии, чем традиционные вычислительные системы.</w:t>
      </w:r>
    </w:p>
    <w:p>
      <w:pPr>
        <w:pStyle w:val="TextBody"/>
        <w:spacing w:before="180" w:after="180"/>
        <w:rPr>
          <w:rFonts w:ascii="Open Sans" w:hAnsi="Open Sans"/>
        </w:rPr>
      </w:pPr>
      <w:r>
        <w:rPr>
          <w:rFonts w:ascii="Open Sans" w:hAnsi="Open Sans"/>
        </w:rPr>
        <w:t>Таким образом, работы, проводимые в лаборатории ProFM, закладывают основу для новых вычислительных парадигм, сочетающих преимущества квантовых и классических методов обработки информации.</w:t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Open Sans">
    <w:charset w:val="01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bullet"/>
      <w:lvlText w:val="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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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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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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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0"/>
      <w:numFmt w:val="bullet"/>
      <w:lvlText w:val=""/>
      <w:lvlJc w:val="left"/>
      <w:pPr>
        <w:tabs>
          <w:tab w:val="num" w:pos="5040"/>
        </w:tabs>
        <w:ind w:left="5520" w:hanging="480"/>
      </w:pPr>
      <w:rPr>
        <w:rFonts w:ascii="Symbol" w:hAnsi="Symbol" w:cs="Symbol" w:hint="default"/>
      </w:rPr>
    </w:lvl>
    <w:lvl w:ilvl="8">
      <w:start w:val="0"/>
      <w:numFmt w:val="bullet"/>
      <w:lvlText w:val=""/>
      <w:lvlJc w:val="left"/>
      <w:pPr>
        <w:tabs>
          <w:tab w:val="num" w:pos="5760"/>
        </w:tabs>
        <w:ind w:left="6240" w:hanging="480"/>
      </w:pPr>
      <w:rPr>
        <w:rFonts w:ascii="Symbol" w:hAnsi="Symbol" w:cs="Symbol" w:hint="default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  <w:rPr/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  <w:rPr/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  <w:rPr/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  <w:rPr/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  <w:rPr/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  <w:rPr/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  <w:rPr/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  <w:rPr/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  <w:rPr/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  <w:rPr/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  <w:rPr/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  <w:rPr/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  <w:rPr/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  <w:rPr/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  <w:rPr/>
    </w:lvl>
  </w:abstractNum>
  <w:abstractNum w:abstractNumId="4">
    <w:lvl w:ilvl="0">
      <w:numFmt w:val="bullet"/>
      <w:lvlText w:val=""/>
      <w:lvlJc w:val="left"/>
      <w:pPr>
        <w:tabs>
          <w:tab w:val="num" w:pos="0"/>
        </w:tabs>
        <w:ind w:left="48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720"/>
        </w:tabs>
        <w:ind w:left="120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1440"/>
        </w:tabs>
        <w:ind w:left="192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2160"/>
        </w:tabs>
        <w:ind w:left="264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2880"/>
        </w:tabs>
        <w:ind w:left="336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3600"/>
        </w:tabs>
        <w:ind w:left="408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4320"/>
        </w:tabs>
        <w:ind w:left="480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5040"/>
        </w:tabs>
        <w:ind w:left="552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5760"/>
        </w:tabs>
        <w:ind w:left="6240" w:hanging="480"/>
      </w:pPr>
      <w:rPr>
        <w:rFonts w:ascii="Symbol" w:hAnsi="Symbol" w:cs="Symbol" w:hint="default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2"/>
  </w:num>
  <w:num w:numId="9">
    <w:abstractNumId w:val="2"/>
  </w:num>
  <w:num w:numId="10">
    <w:abstractNumId w:val="2"/>
  </w:num>
  <w:num w:numId="11">
    <w:abstractNumId w:val="2"/>
  </w:num>
</w:numbering>
</file>

<file path=word/settings.xml><?xml version="1.0" encoding="utf-8"?>
<w:settings xmlns:w="http://schemas.openxmlformats.org/wordprocessingml/2006/main">
  <w:zoom w:percent="140"/>
  <w:embedSystemFonts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Heading1">
    <w:name w:val="Heading 1"/>
    <w:basedOn w:val="Normal"/>
    <w:next w:val="TextBody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TextBody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TextBody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TextBody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Cs/>
      <w:i/>
      <w:color w:val="4F81BD" w:themeColor="accent1"/>
      <w:sz w:val="24"/>
      <w:szCs w:val="24"/>
    </w:rPr>
  </w:style>
  <w:style w:type="paragraph" w:styleId="Heading5">
    <w:name w:val="Heading 5"/>
    <w:basedOn w:val="Normal"/>
    <w:next w:val="TextBody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TextBody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7">
    <w:name w:val="Heading 7"/>
    <w:basedOn w:val="Normal"/>
    <w:next w:val="TextBody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8">
    <w:name w:val="Heading 8"/>
    <w:basedOn w:val="Normal"/>
    <w:next w:val="TextBody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9">
    <w:name w:val="Heading 9"/>
    <w:basedOn w:val="Normal"/>
    <w:next w:val="TextBody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FootnoteCharacters">
    <w:name w:val="Footnote Characters"/>
    <w:basedOn w:val="BodyTextChar"/>
    <w:qFormat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InternetLink">
    <w:name w:val="Hyperlink"/>
    <w:basedOn w:val="BodyTextChar"/>
    <w:rPr>
      <w:color w:val="4F81BD" w:themeColor="accent1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/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/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FirstParagraph" w:customStyle="1">
    <w:name w:val="First Paragraph"/>
    <w:basedOn w:val="TextBody"/>
    <w:next w:val="TextBody"/>
    <w:qFormat/>
    <w:pPr/>
    <w:rPr/>
  </w:style>
  <w:style w:type="paragraph" w:styleId="Compact" w:customStyle="1">
    <w:name w:val="Compact"/>
    <w:basedOn w:val="TextBody"/>
    <w:qFormat/>
    <w:pPr>
      <w:spacing w:before="36" w:after="36"/>
    </w:pPr>
    <w:rPr/>
  </w:style>
  <w:style w:type="paragraph" w:styleId="Title">
    <w:name w:val="Title"/>
    <w:basedOn w:val="Normal"/>
    <w:next w:val="TextBody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TextBody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" w:customStyle="1">
    <w:name w:val="Abstract"/>
    <w:basedOn w:val="Normal"/>
    <w:next w:val="TextBody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TextBody"/>
    <w:next w:val="TextBody"/>
    <w:uiPriority w:val="9"/>
    <w:unhideWhenUsed/>
    <w:qFormat/>
    <w:pPr>
      <w:spacing w:before="100" w:after="100"/>
      <w:ind w:left="480" w:right="480" w:hanging="0"/>
    </w:pPr>
    <w:rPr/>
  </w:style>
  <w:style w:type="paragraph" w:styleId="Footnote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Figure" w:customStyle="1">
    <w:name w:val="Figure"/>
    <w:basedOn w:val="Normal"/>
    <w:qFormat/>
    <w:pPr/>
    <w:rPr/>
  </w:style>
  <w:style w:type="paragraph" w:styleId="CaptionedFigure" w:customStyle="1">
    <w:name w:val="Captioned Figure"/>
    <w:basedOn w:val="Figure"/>
    <w:qFormat/>
    <w:pPr>
      <w:keepNext w:val="true"/>
    </w:pPr>
    <w:rPr/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TextBody"/>
    <w:uiPriority w:val="39"/>
    <w:unhideWhenUsed/>
    <w:qFormat/>
    <w:pPr>
      <w:spacing w:lineRule="auto" w:line="259" w:before="240" w:after="0"/>
      <w:outlineLvl w:val="9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qFormat/>
    <w:pPr/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Application>LibreOffice/7.3.7.2$Linux_X86_64 LibreOffice_project/30$Build-2</Application>
  <AppVersion>15.0000</AppVersion>
  <Pages>14</Pages>
  <Words>2290</Words>
  <Characters>16708</Characters>
  <CharactersWithSpaces>18946</CharactersWithSpaces>
  <Paragraphs>83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2025-03-26T10:50:40Z</dcterms:created>
  <dc:creator/>
  <dc:description/>
  <dc:language>en-US</dc:language>
  <cp:lastModifiedBy/>
  <dcterms:modified xsi:type="dcterms:W3CDTF">2025-03-26T13:54:43Z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